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755D" w:rsidRPr="00F2755D" w:rsidRDefault="00F2755D" w:rsidP="00F2755D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F2755D">
        <w:rPr>
          <w:rFonts w:asciiTheme="minorHAnsi" w:hAnsiTheme="minorHAnsi" w:cstheme="minorHAnsi"/>
          <w:sz w:val="24"/>
          <w:szCs w:val="24"/>
          <w:u w:val="single"/>
        </w:rPr>
        <w:t>Liceo Statale “Eleonora Pimentel Fonseca” Liceo Linguistico-Liceo Scientifico-Liceo Scienze Applicate- Liceo Scienze Umane</w:t>
      </w:r>
    </w:p>
    <w:p w:rsidR="00F2755D" w:rsidRPr="00F2755D" w:rsidRDefault="00F2755D" w:rsidP="00F2755D">
      <w:pPr>
        <w:spacing w:line="240" w:lineRule="auto"/>
        <w:rPr>
          <w:rFonts w:ascii="Times New Roman" w:hAnsi="Times New Roman"/>
          <w:sz w:val="24"/>
          <w:szCs w:val="24"/>
        </w:rPr>
      </w:pPr>
      <w:r w:rsidRPr="00F2755D">
        <w:rPr>
          <w:rFonts w:ascii="Times New Roman" w:hAnsi="Times New Roman"/>
          <w:sz w:val="24"/>
          <w:szCs w:val="24"/>
        </w:rPr>
        <w:t>Programma di S</w:t>
      </w:r>
      <w:r>
        <w:rPr>
          <w:rFonts w:ascii="Times New Roman" w:hAnsi="Times New Roman"/>
          <w:sz w:val="24"/>
          <w:szCs w:val="24"/>
        </w:rPr>
        <w:t>c</w:t>
      </w:r>
      <w:r w:rsidRPr="00F2755D">
        <w:rPr>
          <w:rFonts w:ascii="Times New Roman" w:hAnsi="Times New Roman"/>
          <w:sz w:val="24"/>
          <w:szCs w:val="24"/>
        </w:rPr>
        <w:t>ienze Naturali</w:t>
      </w:r>
    </w:p>
    <w:p w:rsidR="00F2755D" w:rsidRPr="00F2755D" w:rsidRDefault="00F2755D" w:rsidP="00F2755D">
      <w:pPr>
        <w:spacing w:line="240" w:lineRule="auto"/>
        <w:rPr>
          <w:rFonts w:ascii="Times New Roman" w:hAnsi="Times New Roman"/>
          <w:sz w:val="24"/>
          <w:szCs w:val="24"/>
        </w:rPr>
      </w:pPr>
      <w:r w:rsidRPr="00F2755D">
        <w:rPr>
          <w:rFonts w:ascii="Times New Roman" w:hAnsi="Times New Roman"/>
          <w:sz w:val="24"/>
          <w:szCs w:val="24"/>
        </w:rPr>
        <w:t>classe 5°Esa</w:t>
      </w:r>
      <w:r>
        <w:rPr>
          <w:rFonts w:ascii="Times New Roman" w:hAnsi="Times New Roman"/>
          <w:sz w:val="24"/>
          <w:szCs w:val="24"/>
        </w:rPr>
        <w:t xml:space="preserve">    </w:t>
      </w:r>
      <w:r w:rsidR="008959F6">
        <w:rPr>
          <w:rFonts w:ascii="Times New Roman" w:hAnsi="Times New Roman"/>
          <w:sz w:val="24"/>
          <w:szCs w:val="24"/>
        </w:rPr>
        <w:t>anno scolastico 2019/2020</w:t>
      </w:r>
      <w:r w:rsidRPr="00F2755D">
        <w:rPr>
          <w:rFonts w:ascii="Times New Roman" w:hAnsi="Times New Roman"/>
          <w:sz w:val="24"/>
          <w:szCs w:val="24"/>
        </w:rPr>
        <w:t xml:space="preserve"> </w:t>
      </w:r>
    </w:p>
    <w:p w:rsidR="00F2755D" w:rsidRPr="00F2755D" w:rsidRDefault="00F2755D" w:rsidP="00F2755D">
      <w:pPr>
        <w:spacing w:line="240" w:lineRule="auto"/>
        <w:rPr>
          <w:rFonts w:ascii="Times New Roman" w:hAnsi="Times New Roman"/>
          <w:sz w:val="24"/>
          <w:szCs w:val="24"/>
        </w:rPr>
      </w:pPr>
      <w:r w:rsidRPr="00F2755D">
        <w:rPr>
          <w:rFonts w:ascii="Times New Roman" w:hAnsi="Times New Roman"/>
          <w:sz w:val="24"/>
          <w:szCs w:val="24"/>
        </w:rPr>
        <w:t xml:space="preserve">Docente: </w:t>
      </w:r>
      <w:r>
        <w:rPr>
          <w:rFonts w:ascii="Times New Roman" w:hAnsi="Times New Roman"/>
          <w:sz w:val="24"/>
          <w:szCs w:val="24"/>
        </w:rPr>
        <w:t>Di Micco Giovanni</w:t>
      </w:r>
    </w:p>
    <w:p w:rsidR="00F2755D" w:rsidRDefault="00F2755D" w:rsidP="00F2755D">
      <w:pPr>
        <w:spacing w:line="240" w:lineRule="auto"/>
        <w:jc w:val="both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>Programma svolto</w:t>
      </w:r>
    </w:p>
    <w:p w:rsidR="00F2755D" w:rsidRDefault="00F2755D" w:rsidP="00F2755D">
      <w:pPr>
        <w:spacing w:line="240" w:lineRule="auto"/>
        <w:jc w:val="both"/>
      </w:pPr>
      <w:r>
        <w:t xml:space="preserve">Chimica – Biologia </w:t>
      </w:r>
    </w:p>
    <w:p w:rsidR="00F2755D" w:rsidRDefault="00F2755D" w:rsidP="00F2755D">
      <w:pPr>
        <w:spacing w:line="240" w:lineRule="auto"/>
        <w:jc w:val="both"/>
      </w:pPr>
      <w:r>
        <w:t>“Nel quinto anno è previsto l’approfondimento della chimica organica. Il percorso di chimica e quello di biologia si intrecciano poi nella biochimica e, relativamente alla struttura e alla funzione di molecole di interesse biologico, ponendo l’accento sui processi biologici/biochimici riguardanti il metabolismo energetico, la catalisi enzimatica, la genetica,  la regolazione epigenetica e le biotecnologie.</w:t>
      </w:r>
    </w:p>
    <w:p w:rsidR="00F2755D" w:rsidRDefault="00F2755D" w:rsidP="00F2755D">
      <w:pPr>
        <w:spacing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CONTENUTI DISCIPLINARI:</w:t>
      </w:r>
    </w:p>
    <w:p w:rsidR="00F2755D" w:rsidRDefault="00F2755D" w:rsidP="00F2755D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 xml:space="preserve">CHIMICA </w:t>
      </w:r>
    </w:p>
    <w:p w:rsidR="00F2755D" w:rsidRDefault="00F2755D" w:rsidP="00F2755D">
      <w:pPr>
        <w:suppressAutoHyphens/>
        <w:spacing w:after="0" w:line="240" w:lineRule="auto"/>
        <w:ind w:left="18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2755D" w:rsidRDefault="00F2755D" w:rsidP="00F2755D">
      <w:pPr>
        <w:suppressAutoHyphens/>
        <w:spacing w:after="0" w:line="240" w:lineRule="auto"/>
        <w:ind w:left="181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Le basi della chimica Organica</w:t>
      </w:r>
    </w:p>
    <w:p w:rsidR="00F2755D" w:rsidRDefault="00F2755D" w:rsidP="00F2755D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Definizione di chimica organica </w:t>
      </w:r>
    </w:p>
    <w:p w:rsidR="00F2755D" w:rsidRDefault="00F2755D" w:rsidP="00F2755D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Proprietà dell’atomo di carbonio: ibridazione sp3 sp2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>sp</w:t>
      </w:r>
      <w:proofErr w:type="spellEnd"/>
    </w:p>
    <w:p w:rsidR="00F2755D" w:rsidRDefault="00F2755D" w:rsidP="00F2755D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numero di ossidazione del carbonio nei composti organici</w:t>
      </w:r>
    </w:p>
    <w:p w:rsidR="00F2755D" w:rsidRDefault="00F2755D" w:rsidP="00F2755D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Classificazione dei carboni nella catena</w:t>
      </w:r>
    </w:p>
    <w:p w:rsidR="00F2755D" w:rsidRDefault="00F2755D" w:rsidP="00F2755D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Formule di struttura in chimica organica</w:t>
      </w:r>
    </w:p>
    <w:p w:rsidR="00F2755D" w:rsidRDefault="00F2755D" w:rsidP="00F2755D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Isomeria Costituzionale: Catena, posizione e gruppo funzionale</w:t>
      </w:r>
    </w:p>
    <w:p w:rsidR="00F2755D" w:rsidRDefault="00F2755D" w:rsidP="00F2755D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Stereoisomeria: isomeria conformazionale e isomeria geometrica Cis-Trans</w:t>
      </w:r>
    </w:p>
    <w:p w:rsidR="00F2755D" w:rsidRDefault="00F2755D" w:rsidP="00F2755D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Stereoisomeria Ottica: definizione di Enantiomero, molecola chirale, centro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>stereogeno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,  miscela racemica, molecola destrogira, levogira. </w:t>
      </w:r>
    </w:p>
    <w:p w:rsidR="00F2755D" w:rsidRDefault="00F2755D" w:rsidP="00F2755D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Proiezione di Fisher, configurazione R-S</w:t>
      </w:r>
    </w:p>
    <w:p w:rsidR="00F2755D" w:rsidRDefault="00F2755D" w:rsidP="00F2755D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Le reazioni in chimica organica: reazione omolitica ed eterolitica. Reazione di addizione, sostituzione, eliminazione e ossidazione</w:t>
      </w:r>
    </w:p>
    <w:p w:rsidR="00F2755D" w:rsidRDefault="00F2755D" w:rsidP="00F2755D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Definizione di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>carbocatione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e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>carboanione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e loro stabilità</w:t>
      </w:r>
    </w:p>
    <w:p w:rsidR="00F2755D" w:rsidRDefault="00F2755D" w:rsidP="00F2755D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Agenti elettrofili e Nucleofili</w:t>
      </w:r>
    </w:p>
    <w:p w:rsidR="00F2755D" w:rsidRDefault="00F2755D" w:rsidP="00F2755D">
      <w:pPr>
        <w:suppressAutoHyphens/>
        <w:spacing w:after="0" w:line="240" w:lineRule="auto"/>
        <w:ind w:left="181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</w:p>
    <w:p w:rsidR="00F2755D" w:rsidRDefault="00F2755D" w:rsidP="00F2755D">
      <w:pPr>
        <w:suppressAutoHyphens/>
        <w:spacing w:after="0" w:line="240" w:lineRule="auto"/>
        <w:ind w:left="181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ar-SA"/>
        </w:rPr>
        <w:t>Gli Idrocarburi</w:t>
      </w:r>
    </w:p>
    <w:p w:rsidR="00F2755D" w:rsidRDefault="00F2755D" w:rsidP="00F2755D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Classificazione degli Idrocarburi: Alifatici, Aliciclici ed aromatici</w:t>
      </w:r>
    </w:p>
    <w:p w:rsidR="00F2755D" w:rsidRDefault="00F2755D" w:rsidP="00F2755D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Alcani e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>Cicloalcani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>: struttura, proprietà e  nomenclatura</w:t>
      </w:r>
    </w:p>
    <w:p w:rsidR="00F2755D" w:rsidRDefault="00F2755D" w:rsidP="00F2755D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Isomeria conformazionale dei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>cicloalcani</w:t>
      </w:r>
      <w:proofErr w:type="spellEnd"/>
    </w:p>
    <w:p w:rsidR="00F2755D" w:rsidRDefault="00F2755D" w:rsidP="00F2755D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Reazione degli alcani: combustione e alogenazione</w:t>
      </w:r>
    </w:p>
    <w:p w:rsidR="00F2755D" w:rsidRDefault="00F2755D" w:rsidP="00F2755D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Alcheni e Alchini: struttura, nomenclatura,  proprietà, isomeria cis- trans dell’etilene</w:t>
      </w:r>
    </w:p>
    <w:p w:rsidR="00F2755D" w:rsidRDefault="00F2755D" w:rsidP="00F2755D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Reazione degli Alcheni: Reazione di addizione elettrofila (alogenazione e formazione degli alogenuri alchilici, idratazione e formazione degli alcoli)</w:t>
      </w:r>
    </w:p>
    <w:p w:rsidR="00F2755D" w:rsidRDefault="00F2755D" w:rsidP="00F2755D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Reazione di addizione elettrofila agli alcheni asimmetrici: Regola di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>Markovnikov</w:t>
      </w:r>
      <w:proofErr w:type="spellEnd"/>
    </w:p>
    <w:p w:rsidR="00F2755D" w:rsidRDefault="00F2755D" w:rsidP="00F2755D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I Composti Aromatici: struttura del Benzene e risonanza</w:t>
      </w:r>
    </w:p>
    <w:p w:rsidR="00F2755D" w:rsidRDefault="00F2755D" w:rsidP="00F2755D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Nomenclatura e proprietà dei composti aromatici</w:t>
      </w:r>
    </w:p>
    <w:p w:rsidR="00F2755D" w:rsidRDefault="00F2755D" w:rsidP="00F2755D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Reazione di sostituzione elettrofila del Benzene</w:t>
      </w:r>
    </w:p>
    <w:p w:rsidR="00F2755D" w:rsidRDefault="00F2755D" w:rsidP="00F2755D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Idrocarburi policiclici aromatici </w:t>
      </w:r>
    </w:p>
    <w:p w:rsidR="00F2755D" w:rsidRDefault="00F2755D" w:rsidP="00F2755D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Composti Eterociclici</w:t>
      </w:r>
    </w:p>
    <w:p w:rsidR="00F2755D" w:rsidRDefault="00F2755D" w:rsidP="00F2755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F2755D" w:rsidRDefault="00F2755D" w:rsidP="00F2755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ar-SA"/>
        </w:rPr>
        <w:t>Derivati degli Idrocarburi</w:t>
      </w:r>
    </w:p>
    <w:p w:rsidR="00F2755D" w:rsidRDefault="00F2755D" w:rsidP="00F2755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Alogenuri alchilici: nomenclatura e sintesi dagli alcheni (addizione elettrofila)</w:t>
      </w:r>
    </w:p>
    <w:p w:rsidR="00F2755D" w:rsidRDefault="00F2755D" w:rsidP="00F2755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Alcoli Fenoli e Tioli: nomenclatura sintesi e proprietà fisiche e chimiche</w:t>
      </w:r>
    </w:p>
    <w:p w:rsidR="00F2755D" w:rsidRDefault="00F2755D" w:rsidP="00F2755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Classificazione degli alcoli primari secondari e terziari</w:t>
      </w:r>
    </w:p>
    <w:p w:rsidR="00F2755D" w:rsidRDefault="00F2755D" w:rsidP="00F2755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Acidità degli Alcoli e Fenoli</w:t>
      </w:r>
    </w:p>
    <w:p w:rsidR="00F2755D" w:rsidRDefault="00F2755D" w:rsidP="00F2755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Reazione di ossidazione di alcol primari e secondari, disidratazione ad alcheni</w:t>
      </w:r>
    </w:p>
    <w:p w:rsidR="00F2755D" w:rsidRDefault="00F2755D" w:rsidP="00F2755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Eteri: proprietà e nomenclatura </w:t>
      </w:r>
    </w:p>
    <w:p w:rsidR="00F2755D" w:rsidRDefault="00F2755D" w:rsidP="00F2755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Ammine: caratteristiche del gruppo funzionale, nomenclatura, proprietà fisiche e chimiche, sintesi a partire dall’ammoniaca</w:t>
      </w:r>
    </w:p>
    <w:p w:rsidR="00F2755D" w:rsidRDefault="00F2755D" w:rsidP="00F2755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Classificazione delle ammine primarie secondarie e terziarie</w:t>
      </w:r>
    </w:p>
    <w:p w:rsidR="00F2755D" w:rsidRDefault="00F2755D" w:rsidP="00F2755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Ordine di Basicità delle ammine alifatiche e aromatiche</w:t>
      </w:r>
    </w:p>
    <w:p w:rsidR="00F2755D" w:rsidRDefault="00F2755D" w:rsidP="00F2755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Il gruppo carbonilico</w:t>
      </w:r>
    </w:p>
    <w:p w:rsidR="00F2755D" w:rsidRDefault="00F2755D" w:rsidP="00F2755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Aldeidi e Chetoni: nomenclatura, proprietà fisiche, chimiche e Acidità di aldeidi e chetoni</w:t>
      </w:r>
    </w:p>
    <w:p w:rsidR="00F2755D" w:rsidRDefault="00F2755D" w:rsidP="00F2755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Reazione di addizione nucleofila al carbonile: addizione di nucleofili forti e deboli come gli alcoli (formazione degli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>emiacetali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>)</w:t>
      </w:r>
    </w:p>
    <w:p w:rsidR="00F2755D" w:rsidRDefault="00F2755D" w:rsidP="00F2755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Acidi Carbossilici e i loro derivati: Esteri e le Ammidi</w:t>
      </w:r>
    </w:p>
    <w:p w:rsidR="00F2755D" w:rsidRDefault="00F2755D" w:rsidP="00F2755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i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Esterificazione di Fisher</w:t>
      </w:r>
      <w:r>
        <w:rPr>
          <w:rFonts w:ascii="Times New Roman" w:hAnsi="Times New Roman"/>
          <w:i/>
        </w:rPr>
        <w:t>.</w:t>
      </w:r>
    </w:p>
    <w:p w:rsidR="00F2755D" w:rsidRDefault="00F2755D" w:rsidP="00F2755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i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Proprietà del legame ammidico e impedimento rotazionale</w:t>
      </w:r>
    </w:p>
    <w:p w:rsidR="00F2755D" w:rsidRDefault="00F2755D" w:rsidP="00F2755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Acidi bicarbossilici e polifunzionali</w:t>
      </w:r>
    </w:p>
    <w:p w:rsidR="00F2755D" w:rsidRDefault="00F2755D" w:rsidP="00F2755D">
      <w:pPr>
        <w:pStyle w:val="Paragrafoelenco"/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</w:p>
    <w:p w:rsidR="00F2755D" w:rsidRDefault="00F2755D" w:rsidP="00F2755D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BIOCHIMICA</w:t>
      </w:r>
    </w:p>
    <w:p w:rsidR="00F2755D" w:rsidRDefault="00F2755D" w:rsidP="00F2755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F2755D" w:rsidRDefault="00F2755D" w:rsidP="00F2755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ar-SA"/>
        </w:rPr>
        <w:t>le Biomolecole</w:t>
      </w:r>
    </w:p>
    <w:p w:rsidR="00F2755D" w:rsidRDefault="00F2755D" w:rsidP="00F2755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Carboidrati: struttura e nomenclatura dei monomeri e loro classificazione (aldosi e chetosi)</w:t>
      </w:r>
    </w:p>
    <w:p w:rsidR="00F2755D" w:rsidRDefault="00F2755D" w:rsidP="00F2755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Proiezioni di Fisher e monosaccaridi della serie D ed L</w:t>
      </w:r>
    </w:p>
    <w:p w:rsidR="00F2755D" w:rsidRDefault="00F2755D" w:rsidP="00F2755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Struttura emiacetalica e ciclico- piranosica e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>furanosica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dei monosaccaridi</w:t>
      </w:r>
    </w:p>
    <w:p w:rsidR="00F2755D" w:rsidRDefault="00F2755D" w:rsidP="00F2755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Proiezioni di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>Haworth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e Carbonio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>anomerico</w:t>
      </w:r>
      <w:proofErr w:type="spellEnd"/>
    </w:p>
    <w:p w:rsidR="00F2755D" w:rsidRDefault="00F2755D" w:rsidP="00F2755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reazione di policondensazione: legami α e β glicosidici; </w:t>
      </w:r>
    </w:p>
    <w:p w:rsidR="00F2755D" w:rsidRDefault="00F2755D" w:rsidP="00F2755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Disaccaridi e Polisaccaridi principali </w:t>
      </w:r>
    </w:p>
    <w:p w:rsidR="00F2755D" w:rsidRDefault="00F2755D" w:rsidP="00F2755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Lipidi: generalità e precursori lipidici</w:t>
      </w:r>
    </w:p>
    <w:p w:rsidR="00F2755D" w:rsidRDefault="00F2755D" w:rsidP="00F2755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Differenza tra lipidi saponificabili e non saponificabili</w:t>
      </w:r>
    </w:p>
    <w:p w:rsidR="00F2755D" w:rsidRDefault="00F2755D" w:rsidP="00F2755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Trigliceridi: caratteristiche generali e esterificazione del glicerolo </w:t>
      </w:r>
    </w:p>
    <w:p w:rsidR="00F2755D" w:rsidRDefault="00F2755D" w:rsidP="00F2755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La saponificazione dei grassi e azione dei saponi</w:t>
      </w:r>
    </w:p>
    <w:p w:rsidR="00F2755D" w:rsidRDefault="00F2755D" w:rsidP="00F2755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Fosfolipidi sfingolipidi colesterolo glicolipidi e membrane cellulari</w:t>
      </w:r>
    </w:p>
    <w:p w:rsidR="00F2755D" w:rsidRDefault="00F2755D" w:rsidP="00F2755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Vitamine liposolubili e idrosolubili </w:t>
      </w:r>
    </w:p>
    <w:p w:rsidR="00F2755D" w:rsidRDefault="00F2755D" w:rsidP="00F2755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Amminoacidi: proprietà e classificazione</w:t>
      </w:r>
    </w:p>
    <w:p w:rsidR="00F2755D" w:rsidRDefault="00F2755D" w:rsidP="00F2755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proprietà ottiche degli amminoacidi loro classificazione e proprietà acido-base</w:t>
      </w:r>
    </w:p>
    <w:p w:rsidR="00F2755D" w:rsidRDefault="00F2755D" w:rsidP="00F2755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reazione di policondensazione: formazione del legame peptidico</w:t>
      </w:r>
    </w:p>
    <w:p w:rsidR="00F2755D" w:rsidRDefault="00F2755D" w:rsidP="00F2755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Struttura e funzione delle proteine: primaria secondaria terziaria e quaternaria</w:t>
      </w:r>
    </w:p>
    <w:p w:rsidR="00F2755D" w:rsidRDefault="00F2755D" w:rsidP="00F2755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Strutture secondarie: alfa elica e conformazione beta</w:t>
      </w:r>
    </w:p>
    <w:p w:rsidR="00F2755D" w:rsidRDefault="00F2755D" w:rsidP="00F2755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Proteine del sangue:mi</w:t>
      </w:r>
      <w:r w:rsidR="00616338">
        <w:rPr>
          <w:rFonts w:ascii="Times New Roman" w:eastAsia="Times New Roman" w:hAnsi="Times New Roman"/>
          <w:i/>
          <w:sz w:val="24"/>
          <w:szCs w:val="24"/>
          <w:lang w:eastAsia="ar-SA"/>
        </w:rPr>
        <w:t>o</w:t>
      </w: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globina emoglobina e gruppo eme</w:t>
      </w:r>
    </w:p>
    <w:p w:rsidR="00F2755D" w:rsidRDefault="00F2755D" w:rsidP="00F2755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Nucleosidi e nucleotidi: legame N-Glicosidico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>fosfoestereo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e fosfodiesterico</w:t>
      </w:r>
    </w:p>
    <w:p w:rsidR="00F2755D" w:rsidRDefault="00F2755D" w:rsidP="00F2755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Purine e pirimidine</w:t>
      </w:r>
    </w:p>
    <w:p w:rsidR="00F2755D" w:rsidRDefault="00F2755D" w:rsidP="00F2755D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Struttura del DNA, RNA ATP e GTP</w:t>
      </w:r>
    </w:p>
    <w:p w:rsidR="00DF5895" w:rsidRPr="00DF5895" w:rsidRDefault="00DF5895" w:rsidP="00DF5895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DF5895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La struttura del DNA eucariotico: </w:t>
      </w:r>
      <w:proofErr w:type="spellStart"/>
      <w:r w:rsidRPr="00DF5895">
        <w:rPr>
          <w:rFonts w:ascii="Times New Roman" w:eastAsia="Times New Roman" w:hAnsi="Times New Roman"/>
          <w:i/>
          <w:sz w:val="24"/>
          <w:szCs w:val="24"/>
          <w:lang w:eastAsia="ar-SA"/>
        </w:rPr>
        <w:t>Eterocromatina</w:t>
      </w:r>
      <w:proofErr w:type="spellEnd"/>
      <w:r w:rsidRPr="00DF5895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, </w:t>
      </w:r>
      <w:proofErr w:type="spellStart"/>
      <w:r w:rsidRPr="00DF5895">
        <w:rPr>
          <w:rFonts w:ascii="Times New Roman" w:eastAsia="Times New Roman" w:hAnsi="Times New Roman"/>
          <w:i/>
          <w:sz w:val="24"/>
          <w:szCs w:val="24"/>
          <w:lang w:eastAsia="ar-SA"/>
        </w:rPr>
        <w:t>Eucromatina</w:t>
      </w:r>
      <w:proofErr w:type="spellEnd"/>
      <w:r w:rsidRPr="00DF5895">
        <w:rPr>
          <w:rFonts w:ascii="Times New Roman" w:eastAsia="Times New Roman" w:hAnsi="Times New Roman"/>
          <w:i/>
          <w:sz w:val="24"/>
          <w:szCs w:val="24"/>
          <w:lang w:eastAsia="ar-SA"/>
        </w:rPr>
        <w:t>, Impacchettamento Istonico</w:t>
      </w:r>
    </w:p>
    <w:p w:rsidR="00DF5895" w:rsidRDefault="00DF5895" w:rsidP="00DF5895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</w:p>
    <w:p w:rsidR="00F2755D" w:rsidRDefault="00F2755D" w:rsidP="00F2755D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</w:p>
    <w:p w:rsidR="00F2755D" w:rsidRDefault="00F2755D" w:rsidP="00F2755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ar-SA"/>
        </w:rPr>
        <w:lastRenderedPageBreak/>
        <w:t>Metabolismo energetico: Enzimi, Catalisi, Glicolisi Fermentazione e Respirazione Cellulare</w:t>
      </w:r>
    </w:p>
    <w:p w:rsidR="00F2755D" w:rsidRDefault="00F2755D" w:rsidP="00F2755D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Metabolismo cellulare: una visione d’insieme</w:t>
      </w:r>
    </w:p>
    <w:p w:rsidR="00F2755D" w:rsidRPr="009B5DD5" w:rsidRDefault="00F2755D" w:rsidP="00F2755D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Anabolismo e Catabolismo; R</w:t>
      </w:r>
      <w:r w:rsidRPr="009B5DD5">
        <w:rPr>
          <w:rFonts w:ascii="Times New Roman" w:eastAsia="Times New Roman" w:hAnsi="Times New Roman"/>
          <w:i/>
          <w:sz w:val="24"/>
          <w:szCs w:val="24"/>
          <w:lang w:eastAsia="ar-SA"/>
        </w:rPr>
        <w:t>eazioni esoergoniche ed endoergoniche</w:t>
      </w:r>
    </w:p>
    <w:p w:rsidR="00F2755D" w:rsidRDefault="00F2755D" w:rsidP="00F2755D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Il ruolo dell’ATP nel metabolismo cellulare</w:t>
      </w:r>
    </w:p>
    <w:p w:rsidR="00F2755D" w:rsidRDefault="00F2755D" w:rsidP="00F2755D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9B5DD5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Energia di Attivazione Delta G e spontaneità dei processi </w:t>
      </w: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naturali</w:t>
      </w:r>
    </w:p>
    <w:p w:rsidR="00F2755D" w:rsidRPr="009B5DD5" w:rsidRDefault="00F2755D" w:rsidP="00F2755D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9B5DD5">
        <w:rPr>
          <w:rFonts w:ascii="Times New Roman" w:eastAsia="Times New Roman" w:hAnsi="Times New Roman"/>
          <w:i/>
          <w:sz w:val="24"/>
          <w:szCs w:val="24"/>
          <w:lang w:eastAsia="ar-SA"/>
        </w:rPr>
        <w:t>Struttura, funzione classificazione degli enzimi</w:t>
      </w:r>
    </w:p>
    <w:p w:rsidR="00F2755D" w:rsidRDefault="00F2755D" w:rsidP="00F2755D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Energia di attivazione e catalisi enzimatica</w:t>
      </w:r>
    </w:p>
    <w:p w:rsidR="00F2755D" w:rsidRDefault="00F2755D" w:rsidP="00F2755D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Regolazione enzimatica: allosterica, inibizione competitiva non-competitiva e covalente</w:t>
      </w:r>
    </w:p>
    <w:p w:rsidR="00F2755D" w:rsidRDefault="00F2755D" w:rsidP="00F2755D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Cofattori e coenzimi: NAD+, NADP+, FAD++, Coenzima A</w:t>
      </w:r>
    </w:p>
    <w:p w:rsidR="00F2755D" w:rsidRDefault="00F2755D" w:rsidP="00F2755D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La Respirazione cellulare: visione d’insieme</w:t>
      </w:r>
    </w:p>
    <w:p w:rsidR="00F2755D" w:rsidRDefault="00F2755D" w:rsidP="00F2755D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Glicolisi e fermentazione</w:t>
      </w:r>
    </w:p>
    <w:p w:rsidR="00F2755D" w:rsidRDefault="00F2755D" w:rsidP="00F2755D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Il ciclo di Krebs</w:t>
      </w:r>
    </w:p>
    <w:p w:rsidR="00F2755D" w:rsidRDefault="00F2755D" w:rsidP="00F2755D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La fosforilazione ossidativa e la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>chemiosmosi</w:t>
      </w:r>
      <w:proofErr w:type="spellEnd"/>
    </w:p>
    <w:p w:rsidR="00F2755D" w:rsidRDefault="00F2755D" w:rsidP="00F2755D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>Gluconegenesi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>Glicogenosintesi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e Glicogenolisi</w:t>
      </w:r>
    </w:p>
    <w:p w:rsidR="00F2755D" w:rsidRDefault="00F2755D" w:rsidP="00F2755D">
      <w:pPr>
        <w:pStyle w:val="Paragrafoelenco"/>
        <w:suppressAutoHyphens/>
        <w:spacing w:after="0" w:line="240" w:lineRule="auto"/>
        <w:jc w:val="both"/>
      </w:pPr>
    </w:p>
    <w:p w:rsidR="001C4EC9" w:rsidRDefault="001C4EC9" w:rsidP="00F2755D">
      <w:pPr>
        <w:pStyle w:val="Paragrafoelenco"/>
        <w:suppressAutoHyphens/>
        <w:spacing w:after="0" w:line="240" w:lineRule="auto"/>
        <w:jc w:val="both"/>
      </w:pPr>
    </w:p>
    <w:p w:rsidR="00F2755D" w:rsidRDefault="00F2755D" w:rsidP="00F2755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SCIENZE DELLA TERRA</w:t>
      </w:r>
    </w:p>
    <w:p w:rsidR="00F2755D" w:rsidRDefault="00F2755D" w:rsidP="00F2755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2755D" w:rsidRDefault="00F2755D" w:rsidP="00F2755D">
      <w:pPr>
        <w:spacing w:line="240" w:lineRule="auto"/>
        <w:jc w:val="both"/>
      </w:pPr>
      <w:r>
        <w:t xml:space="preserve"> “Nel quinto anno si studiano i complessi processi di modellamento endogeno e i modelli della tettonica globale, con particolare attenzione a identificare le interrelazioni tra vari fenomeni che avvengono nelle diverse regioni del Pianeta. Particolare attenzione è stata data allo studio dei fenomeni vulcanici e sismici, in relazione al territorio Italiano, al rischio vulcanico e sismico e alla prevenzione. La Teoria della Tettonica a Zolle è stato argomento del CLIL ed è stato affrontato mediante l’uso continuo di mappe geografiche, animazioni e video anche in lingua inglese. Il fine è stato quello di inquadrare in un modello globale i  fenomeni vulcanici, sismici e tettonici in un contesto coerente con la struttura interna della Terra, le analisi paleomagnetiche,  paleogeografiche e la distribuzione planetaria delle regioni stabili ed instabili  della Terra.</w:t>
      </w:r>
    </w:p>
    <w:p w:rsidR="00F2755D" w:rsidRDefault="00F2755D" w:rsidP="00F2755D">
      <w:pPr>
        <w:suppressAutoHyphens/>
        <w:spacing w:after="0" w:line="240" w:lineRule="auto"/>
        <w:ind w:left="181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ar-SA"/>
        </w:rPr>
        <w:t xml:space="preserve">Il Vulcanesimo </w:t>
      </w:r>
    </w:p>
    <w:p w:rsidR="00F2755D" w:rsidRDefault="00F2755D" w:rsidP="00F2755D">
      <w:pPr>
        <w:pStyle w:val="Paragrafoelenco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Calore interno della Terra, definizione di magma lava </w:t>
      </w:r>
    </w:p>
    <w:p w:rsidR="00F2755D" w:rsidRDefault="00F2755D" w:rsidP="00F2755D">
      <w:pPr>
        <w:pStyle w:val="Paragrafoelenco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Magma primario e secondario</w:t>
      </w:r>
    </w:p>
    <w:p w:rsidR="00F2755D" w:rsidRDefault="00F2755D" w:rsidP="00F2755D">
      <w:pPr>
        <w:pStyle w:val="Paragrafoelenco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definizione di vulcano e descrizione dell’edificio vulcanico</w:t>
      </w:r>
    </w:p>
    <w:p w:rsidR="00F2755D" w:rsidRDefault="00F2755D" w:rsidP="00F2755D">
      <w:pPr>
        <w:pStyle w:val="Paragrafoelenco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tipologia di vulcani: Vulcani scudo, lineari, strato-vulcani, coni di scorie e caldere</w:t>
      </w:r>
    </w:p>
    <w:p w:rsidR="00F2755D" w:rsidRDefault="00F2755D" w:rsidP="00F2755D">
      <w:pPr>
        <w:pStyle w:val="Paragrafoelenco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correlazione tra la composizione chimica di un magma e il tipo di eruzione</w:t>
      </w:r>
    </w:p>
    <w:p w:rsidR="00F2755D" w:rsidRDefault="00F2755D" w:rsidP="00F2755D">
      <w:pPr>
        <w:pStyle w:val="Paragrafoelenco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prodotti dell’attività vulcanica: Lave, prodotti piroclastici e gas</w:t>
      </w:r>
    </w:p>
    <w:p w:rsidR="00F2755D" w:rsidRDefault="00F2755D" w:rsidP="00F2755D">
      <w:pPr>
        <w:pStyle w:val="Paragrafoelenco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vulcanesimo secondario</w:t>
      </w:r>
    </w:p>
    <w:p w:rsidR="00F2755D" w:rsidRDefault="00F2755D" w:rsidP="00F2755D">
      <w:pPr>
        <w:pStyle w:val="Paragrafoelenco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distribuzione geografica dei vulcani e rischio vulcanico</w:t>
      </w:r>
    </w:p>
    <w:p w:rsidR="00F2755D" w:rsidRDefault="00F2755D" w:rsidP="00F2755D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</w:p>
    <w:p w:rsidR="00F2755D" w:rsidRDefault="00F2755D" w:rsidP="00F2755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ar-SA"/>
        </w:rPr>
        <w:t>I fenomeni sismici</w:t>
      </w:r>
    </w:p>
    <w:p w:rsidR="00F2755D" w:rsidRDefault="00F2755D" w:rsidP="00F2755D">
      <w:pPr>
        <w:pStyle w:val="Paragrafoelenco"/>
        <w:widowControl w:val="0"/>
        <w:numPr>
          <w:ilvl w:val="0"/>
          <w:numId w:val="10"/>
        </w:numPr>
        <w:tabs>
          <w:tab w:val="left" w:pos="1562"/>
          <w:tab w:val="left" w:pos="1760"/>
          <w:tab w:val="left" w:pos="1846"/>
          <w:tab w:val="left" w:pos="1988"/>
          <w:tab w:val="left" w:pos="2980"/>
        </w:tabs>
        <w:suppressAutoHyphens/>
        <w:autoSpaceDE w:val="0"/>
        <w:spacing w:after="0" w:line="240" w:lineRule="auto"/>
        <w:ind w:right="104"/>
        <w:jc w:val="both"/>
        <w:textAlignment w:val="center"/>
        <w:rPr>
          <w:rFonts w:ascii="Times New Roman" w:eastAsia="Arial" w:hAnsi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/>
          <w:i/>
          <w:color w:val="000000"/>
          <w:sz w:val="24"/>
          <w:szCs w:val="24"/>
          <w:lang w:eastAsia="ar-SA"/>
        </w:rPr>
        <w:t xml:space="preserve">Lo studio dei terremoti: definizione di sisma, Ipocentro ed Epicentro </w:t>
      </w:r>
    </w:p>
    <w:p w:rsidR="00F2755D" w:rsidRDefault="00F2755D" w:rsidP="00F2755D">
      <w:pPr>
        <w:pStyle w:val="Paragrafoelenco"/>
        <w:widowControl w:val="0"/>
        <w:numPr>
          <w:ilvl w:val="0"/>
          <w:numId w:val="10"/>
        </w:numPr>
        <w:tabs>
          <w:tab w:val="left" w:pos="1562"/>
          <w:tab w:val="left" w:pos="1760"/>
          <w:tab w:val="left" w:pos="1846"/>
          <w:tab w:val="left" w:pos="1988"/>
          <w:tab w:val="left" w:pos="2980"/>
        </w:tabs>
        <w:suppressAutoHyphens/>
        <w:autoSpaceDE w:val="0"/>
        <w:spacing w:after="0" w:line="240" w:lineRule="auto"/>
        <w:ind w:right="104"/>
        <w:jc w:val="both"/>
        <w:textAlignment w:val="center"/>
        <w:rPr>
          <w:rFonts w:ascii="Times New Roman" w:eastAsia="Arial" w:hAnsi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/>
          <w:i/>
          <w:color w:val="000000"/>
          <w:sz w:val="24"/>
          <w:szCs w:val="24"/>
          <w:lang w:eastAsia="ar-SA"/>
        </w:rPr>
        <w:t>Teoria del rimbalzo elastico</w:t>
      </w:r>
    </w:p>
    <w:p w:rsidR="00F2755D" w:rsidRDefault="00F2755D" w:rsidP="00F2755D">
      <w:pPr>
        <w:pStyle w:val="Paragrafoelenco"/>
        <w:widowControl w:val="0"/>
        <w:numPr>
          <w:ilvl w:val="0"/>
          <w:numId w:val="10"/>
        </w:numPr>
        <w:tabs>
          <w:tab w:val="left" w:pos="1562"/>
          <w:tab w:val="left" w:pos="1760"/>
          <w:tab w:val="left" w:pos="1846"/>
          <w:tab w:val="left" w:pos="1988"/>
          <w:tab w:val="left" w:pos="2980"/>
        </w:tabs>
        <w:suppressAutoHyphens/>
        <w:autoSpaceDE w:val="0"/>
        <w:spacing w:after="0" w:line="240" w:lineRule="auto"/>
        <w:ind w:right="104"/>
        <w:jc w:val="both"/>
        <w:textAlignment w:val="center"/>
        <w:rPr>
          <w:rFonts w:ascii="Times New Roman" w:eastAsia="Arial" w:hAnsi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/>
          <w:i/>
          <w:color w:val="000000"/>
          <w:sz w:val="24"/>
          <w:szCs w:val="24"/>
          <w:lang w:eastAsia="ar-SA"/>
        </w:rPr>
        <w:t>Faglia diretta, inversa e trascorrente</w:t>
      </w:r>
    </w:p>
    <w:p w:rsidR="00F2755D" w:rsidRDefault="00F2755D" w:rsidP="00F2755D">
      <w:pPr>
        <w:pStyle w:val="Paragrafoelenco"/>
        <w:widowControl w:val="0"/>
        <w:numPr>
          <w:ilvl w:val="0"/>
          <w:numId w:val="10"/>
        </w:numPr>
        <w:tabs>
          <w:tab w:val="left" w:pos="1562"/>
          <w:tab w:val="left" w:pos="1760"/>
          <w:tab w:val="left" w:pos="1846"/>
          <w:tab w:val="left" w:pos="1988"/>
          <w:tab w:val="left" w:pos="2980"/>
        </w:tabs>
        <w:suppressAutoHyphens/>
        <w:autoSpaceDE w:val="0"/>
        <w:spacing w:after="0" w:line="240" w:lineRule="auto"/>
        <w:ind w:right="104"/>
        <w:jc w:val="both"/>
        <w:textAlignment w:val="center"/>
        <w:rPr>
          <w:rFonts w:ascii="Times New Roman" w:eastAsia="Arial" w:hAnsi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/>
          <w:i/>
          <w:color w:val="000000"/>
          <w:sz w:val="24"/>
          <w:szCs w:val="24"/>
          <w:lang w:eastAsia="ar-SA"/>
        </w:rPr>
        <w:t>Classificazione delle onde sismiche</w:t>
      </w:r>
    </w:p>
    <w:p w:rsidR="00F2755D" w:rsidRDefault="00F2755D" w:rsidP="00F2755D">
      <w:pPr>
        <w:pStyle w:val="Paragrafoelenco"/>
        <w:widowControl w:val="0"/>
        <w:numPr>
          <w:ilvl w:val="0"/>
          <w:numId w:val="10"/>
        </w:numPr>
        <w:tabs>
          <w:tab w:val="left" w:pos="1562"/>
          <w:tab w:val="left" w:pos="1760"/>
          <w:tab w:val="left" w:pos="1846"/>
          <w:tab w:val="left" w:pos="1988"/>
          <w:tab w:val="left" w:pos="2980"/>
        </w:tabs>
        <w:suppressAutoHyphens/>
        <w:autoSpaceDE w:val="0"/>
        <w:spacing w:after="0" w:line="240" w:lineRule="auto"/>
        <w:ind w:right="104"/>
        <w:jc w:val="both"/>
        <w:textAlignment w:val="center"/>
        <w:rPr>
          <w:rFonts w:ascii="Times New Roman" w:eastAsia="Arial" w:hAnsi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/>
          <w:i/>
          <w:color w:val="000000"/>
          <w:sz w:val="24"/>
          <w:szCs w:val="24"/>
          <w:lang w:eastAsia="ar-SA"/>
        </w:rPr>
        <w:t>registrazione di un sisma: sismografo e sismogramma</w:t>
      </w:r>
    </w:p>
    <w:p w:rsidR="00F2755D" w:rsidRDefault="00F2755D" w:rsidP="00F2755D">
      <w:pPr>
        <w:pStyle w:val="Paragrafoelenco"/>
        <w:widowControl w:val="0"/>
        <w:numPr>
          <w:ilvl w:val="0"/>
          <w:numId w:val="10"/>
        </w:numPr>
        <w:tabs>
          <w:tab w:val="left" w:pos="1562"/>
          <w:tab w:val="left" w:pos="1760"/>
          <w:tab w:val="left" w:pos="1846"/>
          <w:tab w:val="left" w:pos="1988"/>
          <w:tab w:val="left" w:pos="2980"/>
        </w:tabs>
        <w:suppressAutoHyphens/>
        <w:autoSpaceDE w:val="0"/>
        <w:spacing w:after="0" w:line="240" w:lineRule="auto"/>
        <w:ind w:right="104"/>
        <w:jc w:val="both"/>
        <w:textAlignment w:val="center"/>
        <w:rPr>
          <w:rFonts w:ascii="Times New Roman" w:eastAsia="Arial" w:hAnsi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/>
          <w:i/>
          <w:color w:val="000000"/>
          <w:sz w:val="24"/>
          <w:szCs w:val="24"/>
          <w:lang w:eastAsia="ar-SA"/>
        </w:rPr>
        <w:t xml:space="preserve">individuazione dell’epicentro di un terremoto: dromocrone e carta delle </w:t>
      </w:r>
      <w:proofErr w:type="spellStart"/>
      <w:r>
        <w:rPr>
          <w:rFonts w:ascii="Times New Roman" w:eastAsia="Arial" w:hAnsi="Times New Roman"/>
          <w:i/>
          <w:color w:val="000000"/>
          <w:sz w:val="24"/>
          <w:szCs w:val="24"/>
          <w:lang w:eastAsia="ar-SA"/>
        </w:rPr>
        <w:t>isosisme</w:t>
      </w:r>
      <w:proofErr w:type="spellEnd"/>
    </w:p>
    <w:p w:rsidR="00F2755D" w:rsidRDefault="00F2755D" w:rsidP="00F2755D">
      <w:pPr>
        <w:pStyle w:val="Paragrafoelenco"/>
        <w:widowControl w:val="0"/>
        <w:numPr>
          <w:ilvl w:val="0"/>
          <w:numId w:val="10"/>
        </w:numPr>
        <w:tabs>
          <w:tab w:val="left" w:pos="1562"/>
          <w:tab w:val="left" w:pos="1760"/>
          <w:tab w:val="left" w:pos="1846"/>
          <w:tab w:val="left" w:pos="1988"/>
          <w:tab w:val="left" w:pos="2980"/>
        </w:tabs>
        <w:suppressAutoHyphens/>
        <w:autoSpaceDE w:val="0"/>
        <w:spacing w:after="0" w:line="240" w:lineRule="auto"/>
        <w:ind w:right="104"/>
        <w:jc w:val="both"/>
        <w:textAlignment w:val="center"/>
        <w:rPr>
          <w:rFonts w:ascii="Times New Roman" w:eastAsia="Arial" w:hAnsi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/>
          <w:i/>
          <w:color w:val="000000"/>
          <w:sz w:val="24"/>
          <w:szCs w:val="24"/>
          <w:lang w:eastAsia="ar-SA"/>
        </w:rPr>
        <w:t>La «forza» di un terremoto: scala Mercalli e Richter</w:t>
      </w:r>
    </w:p>
    <w:p w:rsidR="00F2755D" w:rsidRDefault="00F2755D" w:rsidP="00F2755D">
      <w:pPr>
        <w:pStyle w:val="Paragrafoelenco"/>
        <w:widowControl w:val="0"/>
        <w:numPr>
          <w:ilvl w:val="0"/>
          <w:numId w:val="10"/>
        </w:numPr>
        <w:tabs>
          <w:tab w:val="left" w:pos="1562"/>
          <w:tab w:val="left" w:pos="1760"/>
          <w:tab w:val="left" w:pos="1846"/>
          <w:tab w:val="left" w:pos="1988"/>
          <w:tab w:val="left" w:pos="2980"/>
        </w:tabs>
        <w:suppressAutoHyphens/>
        <w:autoSpaceDE w:val="0"/>
        <w:spacing w:after="0" w:line="240" w:lineRule="auto"/>
        <w:ind w:right="104"/>
        <w:jc w:val="both"/>
        <w:textAlignment w:val="center"/>
        <w:rPr>
          <w:rFonts w:ascii="Times New Roman" w:eastAsia="Arial" w:hAnsi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/>
          <w:i/>
          <w:color w:val="000000"/>
          <w:sz w:val="24"/>
          <w:szCs w:val="24"/>
          <w:lang w:eastAsia="ar-SA"/>
        </w:rPr>
        <w:t>Gli effetti dei sismi ed accelerazione orizzontale di picco</w:t>
      </w:r>
    </w:p>
    <w:p w:rsidR="00F2755D" w:rsidRDefault="00F2755D" w:rsidP="00F2755D">
      <w:pPr>
        <w:pStyle w:val="Paragrafoelenco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Arial" w:hAnsi="Times New Roman"/>
          <w:i/>
          <w:color w:val="000000"/>
          <w:sz w:val="24"/>
          <w:szCs w:val="24"/>
          <w:lang w:eastAsia="ar-SA"/>
        </w:rPr>
        <w:t>Gli effetti del terremoto:</w:t>
      </w:r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>Macrozonazione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e microzonazione sismica</w:t>
      </w:r>
      <w:r>
        <w:rPr>
          <w:rFonts w:ascii="Times New Roman" w:eastAsia="Arial" w:hAnsi="Times New Roman"/>
          <w:i/>
          <w:color w:val="000000"/>
          <w:sz w:val="24"/>
          <w:szCs w:val="24"/>
          <w:lang w:eastAsia="ar-SA"/>
        </w:rPr>
        <w:t xml:space="preserve"> </w:t>
      </w:r>
    </w:p>
    <w:p w:rsidR="00F2755D" w:rsidRDefault="00F2755D" w:rsidP="00F2755D">
      <w:pPr>
        <w:pStyle w:val="Paragrafoelenco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La difesa dai terremoti: rischio e pericolosità</w:t>
      </w:r>
    </w:p>
    <w:p w:rsidR="00F2755D" w:rsidRDefault="00F2755D" w:rsidP="00F2755D">
      <w:pPr>
        <w:pStyle w:val="Paragrafoelenco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Distribuzione geografica dei terremoti</w:t>
      </w:r>
    </w:p>
    <w:p w:rsidR="00F2755D" w:rsidRDefault="00F2755D" w:rsidP="00F2755D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</w:p>
    <w:p w:rsidR="00F2755D" w:rsidRDefault="00F2755D" w:rsidP="00F2755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ar-SA"/>
        </w:rPr>
        <w:t>Struttura interna della Terra e Tettonica a Zolle</w:t>
      </w:r>
    </w:p>
    <w:p w:rsidR="00F2755D" w:rsidRDefault="00F2755D" w:rsidP="00F2755D">
      <w:pPr>
        <w:pStyle w:val="Paragrafoelenco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Onde sismiche e struttura interna della Terra</w:t>
      </w:r>
    </w:p>
    <w:p w:rsidR="00F2755D" w:rsidRDefault="00F2755D" w:rsidP="00F2755D">
      <w:pPr>
        <w:pStyle w:val="Paragrafoelenco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Struttura geofisica della Terra, Crosta Mantello e Nucleo, e geodinamica Astenosfera, Litosfera</w:t>
      </w:r>
    </w:p>
    <w:p w:rsidR="00F2755D" w:rsidRDefault="00F2755D" w:rsidP="00F2755D">
      <w:pPr>
        <w:pStyle w:val="Paragrafoelenco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Crosta Oceanica e continentale a confronto.</w:t>
      </w:r>
    </w:p>
    <w:p w:rsidR="00F2755D" w:rsidRDefault="00F2755D" w:rsidP="00F2755D">
      <w:pPr>
        <w:pStyle w:val="Paragrafoelenco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Teoria della deriva dei continenti di Wegener</w:t>
      </w:r>
    </w:p>
    <w:p w:rsidR="00F2755D" w:rsidRDefault="00F2755D" w:rsidP="00F2755D">
      <w:pPr>
        <w:pStyle w:val="Paragrafoelenco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Magnetismo e Paleomagnetismo</w:t>
      </w:r>
    </w:p>
    <w:p w:rsidR="00F2755D" w:rsidRDefault="00F2755D" w:rsidP="00F2755D">
      <w:pPr>
        <w:pStyle w:val="Paragrafoelenco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Teoria dell’espansione dei Fondali oceanici di Hess</w:t>
      </w:r>
    </w:p>
    <w:p w:rsidR="00F2755D" w:rsidRDefault="00F2755D" w:rsidP="00F2755D">
      <w:pPr>
        <w:pStyle w:val="Paragrafoelenco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Margini divergenti convergenti e trasformi</w:t>
      </w:r>
    </w:p>
    <w:p w:rsidR="00F2755D" w:rsidRDefault="00F2755D" w:rsidP="00F2755D">
      <w:pPr>
        <w:pStyle w:val="Paragrafoelenco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Teoria della Tettonica a zolle</w:t>
      </w:r>
    </w:p>
    <w:p w:rsidR="003013F3" w:rsidRPr="004862FD" w:rsidRDefault="00F2755D" w:rsidP="00F2755D">
      <w:pPr>
        <w:pStyle w:val="Paragrafoelenco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Margini convergenti: Orogenesi</w:t>
      </w:r>
    </w:p>
    <w:p w:rsidR="005436CF" w:rsidRDefault="005436CF" w:rsidP="00F2755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2755D" w:rsidRPr="003013F3" w:rsidRDefault="00F2755D" w:rsidP="00F2755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F5812">
        <w:rPr>
          <w:rFonts w:ascii="Times New Roman" w:hAnsi="Times New Roman"/>
          <w:b/>
          <w:sz w:val="28"/>
          <w:szCs w:val="28"/>
        </w:rPr>
        <w:t>Percorso di Cittadinanza e Costituzione “Legalità e Tutela Ambientale”</w:t>
      </w:r>
    </w:p>
    <w:p w:rsidR="003013F3" w:rsidRPr="003013F3" w:rsidRDefault="003013F3" w:rsidP="003013F3">
      <w:pPr>
        <w:jc w:val="both"/>
        <w:rPr>
          <w:rFonts w:cs="Calibri"/>
        </w:rPr>
      </w:pPr>
      <w:r w:rsidRPr="003013F3">
        <w:rPr>
          <w:rFonts w:cs="Calibri"/>
        </w:rPr>
        <w:t xml:space="preserve">Nell’ambito della progettazione annuale del consiglio di classe, come da direttiva ministeriale e nuove linee guida per l’esame di stato, è stato introdotto il percorso di cittadinanza e costituzione. A tal fine la tematica scelta dal consiglio di classe </w:t>
      </w:r>
      <w:r w:rsidR="005436CF">
        <w:rPr>
          <w:rFonts w:cs="Calibri"/>
        </w:rPr>
        <w:t xml:space="preserve">di Quinta ESA </w:t>
      </w:r>
      <w:r w:rsidRPr="003013F3">
        <w:rPr>
          <w:rFonts w:cs="Calibri"/>
        </w:rPr>
        <w:t xml:space="preserve">è risultata </w:t>
      </w:r>
      <w:r w:rsidR="005436CF">
        <w:rPr>
          <w:rFonts w:cs="Calibri"/>
        </w:rPr>
        <w:t xml:space="preserve">essere </w:t>
      </w:r>
      <w:r w:rsidRPr="003013F3">
        <w:rPr>
          <w:rFonts w:cs="Calibri"/>
          <w:i/>
        </w:rPr>
        <w:t>Legalità e Tutela Ambientale</w:t>
      </w:r>
      <w:r w:rsidRPr="003013F3">
        <w:rPr>
          <w:rFonts w:cs="Calibri"/>
        </w:rPr>
        <w:t xml:space="preserve">. Gli alunni </w:t>
      </w:r>
      <w:r>
        <w:rPr>
          <w:rFonts w:cs="Calibri"/>
        </w:rPr>
        <w:t xml:space="preserve">hanno effettuato </w:t>
      </w:r>
      <w:r w:rsidRPr="003013F3">
        <w:rPr>
          <w:rFonts w:cs="Calibri"/>
        </w:rPr>
        <w:t>un certo numero d’incontri con i docenti di diritto del Liceo</w:t>
      </w:r>
      <w:r>
        <w:rPr>
          <w:rFonts w:cs="Calibri"/>
        </w:rPr>
        <w:t>,</w:t>
      </w:r>
      <w:r w:rsidRPr="003013F3">
        <w:rPr>
          <w:rFonts w:cs="Calibri"/>
        </w:rPr>
        <w:t xml:space="preserve"> per trattare l’argomento in oggetto, coadiuvati dai docenti del consiglio i quali, ognuno nelle proprie ore, </w:t>
      </w:r>
      <w:r>
        <w:rPr>
          <w:rFonts w:cs="Calibri"/>
        </w:rPr>
        <w:t>ha dedicato,</w:t>
      </w:r>
      <w:r w:rsidRPr="003013F3">
        <w:rPr>
          <w:rFonts w:cs="Calibri"/>
        </w:rPr>
        <w:t xml:space="preserve"> in maniera trasversale</w:t>
      </w:r>
      <w:r>
        <w:rPr>
          <w:rFonts w:cs="Calibri"/>
        </w:rPr>
        <w:t>,</w:t>
      </w:r>
      <w:r w:rsidRPr="003013F3">
        <w:rPr>
          <w:rFonts w:cs="Calibri"/>
        </w:rPr>
        <w:t xml:space="preserve"> delle ore di approfondimento al tema proposto. A tal fine quindi </w:t>
      </w:r>
      <w:r>
        <w:rPr>
          <w:rFonts w:cs="Calibri"/>
        </w:rPr>
        <w:t xml:space="preserve">sono state programmate ed effettuate </w:t>
      </w:r>
      <w:r w:rsidRPr="003013F3">
        <w:rPr>
          <w:rFonts w:cs="Calibri"/>
        </w:rPr>
        <w:t>quattro ore di lezione sui seguenti argomenti</w:t>
      </w:r>
      <w:r>
        <w:rPr>
          <w:rFonts w:cs="Calibri"/>
        </w:rPr>
        <w:t>, inerenti il tema Inquinamento e Sviluppo Sostenibile</w:t>
      </w:r>
      <w:r w:rsidRPr="003013F3">
        <w:rPr>
          <w:rFonts w:cs="Calibri"/>
        </w:rPr>
        <w:t>:</w:t>
      </w:r>
    </w:p>
    <w:p w:rsidR="003013F3" w:rsidRDefault="003013F3" w:rsidP="005436CF">
      <w:pPr>
        <w:pStyle w:val="Paragrafoelenco"/>
        <w:numPr>
          <w:ilvl w:val="0"/>
          <w:numId w:val="12"/>
        </w:numPr>
        <w:jc w:val="both"/>
        <w:rPr>
          <w:rFonts w:ascii="Times New Roman" w:hAnsi="Times New Roman"/>
          <w:i/>
        </w:rPr>
      </w:pPr>
      <w:r w:rsidRPr="007636B5">
        <w:rPr>
          <w:rFonts w:ascii="Times New Roman" w:hAnsi="Times New Roman"/>
          <w:b/>
          <w:i/>
        </w:rPr>
        <w:t>Inquinamento definizione e tipologie</w:t>
      </w:r>
      <w:r w:rsidR="00E826B9">
        <w:rPr>
          <w:rFonts w:ascii="Times New Roman" w:hAnsi="Times New Roman"/>
          <w:i/>
        </w:rPr>
        <w:t xml:space="preserve"> </w:t>
      </w:r>
      <w:r w:rsidR="004862FD">
        <w:rPr>
          <w:rFonts w:ascii="Times New Roman" w:hAnsi="Times New Roman"/>
          <w:i/>
        </w:rPr>
        <w:t xml:space="preserve"> </w:t>
      </w:r>
      <w:r w:rsidR="00AC4BFE">
        <w:rPr>
          <w:rFonts w:ascii="Times New Roman" w:hAnsi="Times New Roman"/>
          <w:i/>
        </w:rPr>
        <w:t>(data 21/11/2019)</w:t>
      </w:r>
    </w:p>
    <w:p w:rsidR="00AC4BFE" w:rsidRPr="00AC4BFE" w:rsidRDefault="00AC4BFE" w:rsidP="005436CF">
      <w:pPr>
        <w:pStyle w:val="Paragrafoelenco"/>
        <w:numPr>
          <w:ilvl w:val="0"/>
          <w:numId w:val="12"/>
        </w:numPr>
        <w:jc w:val="both"/>
        <w:rPr>
          <w:rFonts w:ascii="Times New Roman" w:hAnsi="Times New Roman"/>
          <w:i/>
        </w:rPr>
      </w:pPr>
      <w:r w:rsidRPr="007636B5">
        <w:rPr>
          <w:rFonts w:ascii="Times New Roman" w:hAnsi="Times New Roman"/>
          <w:b/>
          <w:i/>
        </w:rPr>
        <w:t>Concetto di Sviluppo Sostenibile ed Economia circolare</w:t>
      </w:r>
      <w:r>
        <w:rPr>
          <w:rFonts w:ascii="Times New Roman" w:hAnsi="Times New Roman"/>
          <w:i/>
        </w:rPr>
        <w:t xml:space="preserve"> (spunti e riflessioni nel mese di Dicembre </w:t>
      </w:r>
      <w:r w:rsidR="005901CA">
        <w:rPr>
          <w:rFonts w:ascii="Times New Roman" w:hAnsi="Times New Roman"/>
          <w:i/>
        </w:rPr>
        <w:t>20</w:t>
      </w:r>
      <w:r>
        <w:rPr>
          <w:rFonts w:ascii="Times New Roman" w:hAnsi="Times New Roman"/>
          <w:i/>
        </w:rPr>
        <w:t xml:space="preserve">19 in aula, mediante video </w:t>
      </w:r>
      <w:proofErr w:type="spellStart"/>
      <w:r>
        <w:rPr>
          <w:rFonts w:ascii="Times New Roman" w:hAnsi="Times New Roman"/>
          <w:i/>
        </w:rPr>
        <w:t>youtube</w:t>
      </w:r>
      <w:proofErr w:type="spellEnd"/>
      <w:r>
        <w:rPr>
          <w:rFonts w:ascii="Times New Roman" w:hAnsi="Times New Roman"/>
          <w:i/>
        </w:rPr>
        <w:t xml:space="preserve"> inviati sulla piattaforma </w:t>
      </w:r>
      <w:proofErr w:type="spellStart"/>
      <w:r>
        <w:rPr>
          <w:rFonts w:ascii="Times New Roman" w:hAnsi="Times New Roman"/>
          <w:i/>
        </w:rPr>
        <w:t>Classroom</w:t>
      </w:r>
      <w:proofErr w:type="spellEnd"/>
      <w:r>
        <w:rPr>
          <w:rFonts w:ascii="Times New Roman" w:hAnsi="Times New Roman"/>
          <w:i/>
        </w:rPr>
        <w:t xml:space="preserve"> e attraverso il sito Italiano per lo Sviluppo Soste</w:t>
      </w:r>
      <w:r w:rsidR="005901CA">
        <w:rPr>
          <w:rFonts w:ascii="Times New Roman" w:hAnsi="Times New Roman"/>
          <w:i/>
        </w:rPr>
        <w:t>nibile ASVIS e</w:t>
      </w:r>
      <w:r w:rsidR="007636B5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 l’Agenda 2030</w:t>
      </w:r>
      <w:r w:rsidR="007636B5" w:rsidRPr="007636B5">
        <w:t xml:space="preserve"> </w:t>
      </w:r>
      <w:hyperlink r:id="rId5" w:history="1">
        <w:r w:rsidR="007636B5">
          <w:rPr>
            <w:rStyle w:val="Collegamentoipertestuale"/>
          </w:rPr>
          <w:t>https://asvis.it/</w:t>
        </w:r>
      </w:hyperlink>
      <w:r w:rsidR="007636B5">
        <w:t xml:space="preserve"> )</w:t>
      </w:r>
      <w:r w:rsidR="007636B5">
        <w:rPr>
          <w:rFonts w:ascii="Times New Roman" w:hAnsi="Times New Roman"/>
          <w:i/>
        </w:rPr>
        <w:t xml:space="preserve"> </w:t>
      </w:r>
    </w:p>
    <w:p w:rsidR="003013F3" w:rsidRPr="003013F3" w:rsidRDefault="003013F3" w:rsidP="005436CF">
      <w:pPr>
        <w:pStyle w:val="Paragrafoelenco"/>
        <w:numPr>
          <w:ilvl w:val="0"/>
          <w:numId w:val="12"/>
        </w:numPr>
        <w:jc w:val="both"/>
        <w:rPr>
          <w:rFonts w:ascii="Times New Roman" w:hAnsi="Times New Roman"/>
          <w:i/>
        </w:rPr>
      </w:pPr>
      <w:r w:rsidRPr="007636B5">
        <w:rPr>
          <w:rFonts w:ascii="Times New Roman" w:hAnsi="Times New Roman"/>
          <w:b/>
          <w:i/>
        </w:rPr>
        <w:t>Conseguenze dell’inquinamento Ambientale: I</w:t>
      </w:r>
      <w:r w:rsidR="004862FD" w:rsidRPr="007636B5">
        <w:rPr>
          <w:rFonts w:ascii="Times New Roman" w:hAnsi="Times New Roman"/>
          <w:b/>
          <w:i/>
        </w:rPr>
        <w:t xml:space="preserve"> Cambiamenti climatici</w:t>
      </w:r>
      <w:r w:rsidR="00AC4BFE">
        <w:rPr>
          <w:rFonts w:ascii="Times New Roman" w:hAnsi="Times New Roman"/>
          <w:i/>
        </w:rPr>
        <w:t xml:space="preserve"> ( incontro </w:t>
      </w:r>
      <w:r w:rsidR="004F26DF">
        <w:rPr>
          <w:rFonts w:ascii="Times New Roman" w:hAnsi="Times New Roman"/>
          <w:i/>
        </w:rPr>
        <w:t>facoltativo</w:t>
      </w:r>
      <w:r w:rsidR="005436CF">
        <w:rPr>
          <w:rFonts w:ascii="Times New Roman" w:hAnsi="Times New Roman"/>
          <w:i/>
        </w:rPr>
        <w:t xml:space="preserve"> al cinema Martos Metropolitan</w:t>
      </w:r>
      <w:r w:rsidR="004F26DF">
        <w:rPr>
          <w:rFonts w:ascii="Times New Roman" w:hAnsi="Times New Roman"/>
          <w:i/>
        </w:rPr>
        <w:t xml:space="preserve"> in </w:t>
      </w:r>
      <w:r w:rsidR="005436CF">
        <w:rPr>
          <w:rFonts w:ascii="Times New Roman" w:hAnsi="Times New Roman"/>
          <w:i/>
        </w:rPr>
        <w:t xml:space="preserve">data 29/11/2019 e </w:t>
      </w:r>
      <w:r w:rsidR="004F26DF">
        <w:rPr>
          <w:rFonts w:ascii="Times New Roman" w:hAnsi="Times New Roman"/>
          <w:i/>
        </w:rPr>
        <w:t xml:space="preserve">orario extracurricolare </w:t>
      </w:r>
      <w:r w:rsidR="00AC4BFE">
        <w:rPr>
          <w:rFonts w:ascii="Times New Roman" w:hAnsi="Times New Roman"/>
          <w:i/>
        </w:rPr>
        <w:t>per vedere il docufilm</w:t>
      </w:r>
      <w:r w:rsidR="007636B5">
        <w:rPr>
          <w:rFonts w:ascii="Times New Roman" w:hAnsi="Times New Roman"/>
          <w:i/>
        </w:rPr>
        <w:t xml:space="preserve"> intitolato</w:t>
      </w:r>
      <w:r w:rsidR="00AC4BFE">
        <w:rPr>
          <w:rFonts w:ascii="Times New Roman" w:hAnsi="Times New Roman"/>
          <w:i/>
        </w:rPr>
        <w:t xml:space="preserve"> </w:t>
      </w:r>
      <w:r w:rsidR="004F26DF">
        <w:rPr>
          <w:rFonts w:ascii="Times New Roman" w:hAnsi="Times New Roman"/>
          <w:i/>
        </w:rPr>
        <w:t>“</w:t>
      </w:r>
      <w:proofErr w:type="spellStart"/>
      <w:r w:rsidR="004F26DF" w:rsidRPr="004F26DF">
        <w:rPr>
          <w:rFonts w:ascii="Times New Roman" w:hAnsi="Times New Roman"/>
          <w:i/>
          <w:u w:val="single"/>
        </w:rPr>
        <w:t>Antropocene</w:t>
      </w:r>
      <w:proofErr w:type="spellEnd"/>
      <w:r w:rsidR="004F26DF">
        <w:rPr>
          <w:rFonts w:ascii="Times New Roman" w:hAnsi="Times New Roman"/>
          <w:i/>
        </w:rPr>
        <w:t>”,</w:t>
      </w:r>
      <w:r w:rsidR="00AC4BFE">
        <w:rPr>
          <w:rFonts w:ascii="Times New Roman" w:hAnsi="Times New Roman"/>
          <w:i/>
        </w:rPr>
        <w:t xml:space="preserve"> visione in aula del Webinar dal titolo </w:t>
      </w:r>
      <w:r w:rsidR="007636B5">
        <w:rPr>
          <w:rFonts w:ascii="Times New Roman" w:hAnsi="Times New Roman"/>
          <w:i/>
        </w:rPr>
        <w:t>“</w:t>
      </w:r>
      <w:r w:rsidR="00AC4BFE" w:rsidRPr="004F26DF">
        <w:rPr>
          <w:rFonts w:ascii="Times New Roman" w:hAnsi="Times New Roman"/>
          <w:i/>
          <w:u w:val="single"/>
        </w:rPr>
        <w:t>Cambiamenti climatici il futuro è adesso</w:t>
      </w:r>
      <w:r w:rsidR="00AC4BFE">
        <w:rPr>
          <w:rFonts w:ascii="Times New Roman" w:hAnsi="Times New Roman"/>
          <w:i/>
        </w:rPr>
        <w:t>”</w:t>
      </w:r>
      <w:r w:rsidR="007636B5">
        <w:rPr>
          <w:rFonts w:ascii="Times New Roman" w:hAnsi="Times New Roman"/>
          <w:i/>
        </w:rPr>
        <w:t xml:space="preserve"> in data 04/02/2020</w:t>
      </w:r>
      <w:r w:rsidR="00AC4BFE">
        <w:rPr>
          <w:rFonts w:ascii="Times New Roman" w:hAnsi="Times New Roman"/>
          <w:i/>
        </w:rPr>
        <w:t>)</w:t>
      </w:r>
    </w:p>
    <w:p w:rsidR="003013F3" w:rsidRPr="003013F3" w:rsidRDefault="003013F3" w:rsidP="005436CF">
      <w:pPr>
        <w:pStyle w:val="Paragrafoelenco"/>
        <w:numPr>
          <w:ilvl w:val="0"/>
          <w:numId w:val="12"/>
        </w:numPr>
        <w:jc w:val="both"/>
        <w:rPr>
          <w:rFonts w:ascii="Times New Roman" w:hAnsi="Times New Roman"/>
          <w:i/>
        </w:rPr>
      </w:pPr>
      <w:r w:rsidRPr="007636B5">
        <w:rPr>
          <w:rFonts w:ascii="Times New Roman" w:hAnsi="Times New Roman"/>
          <w:b/>
          <w:i/>
        </w:rPr>
        <w:t>Negoziati ed accordi Internazionali sul clima</w:t>
      </w:r>
      <w:r w:rsidR="00AC4BFE">
        <w:rPr>
          <w:rFonts w:ascii="Times New Roman" w:hAnsi="Times New Roman"/>
          <w:i/>
        </w:rPr>
        <w:t xml:space="preserve"> (visione Webinar 10/02/2020 e discussione successiva</w:t>
      </w:r>
      <w:r w:rsidR="007636B5">
        <w:rPr>
          <w:rFonts w:ascii="Times New Roman" w:hAnsi="Times New Roman"/>
          <w:i/>
        </w:rPr>
        <w:t xml:space="preserve"> sulle principali tappe che hanno portato al Vertice di Parigi del 2015</w:t>
      </w:r>
      <w:r w:rsidR="00AC4BFE">
        <w:rPr>
          <w:rFonts w:ascii="Times New Roman" w:hAnsi="Times New Roman"/>
          <w:i/>
        </w:rPr>
        <w:t>)</w:t>
      </w:r>
    </w:p>
    <w:p w:rsidR="00AC1549" w:rsidRPr="004862FD" w:rsidRDefault="003013F3" w:rsidP="005436CF">
      <w:pPr>
        <w:pStyle w:val="Paragrafoelenco"/>
        <w:numPr>
          <w:ilvl w:val="0"/>
          <w:numId w:val="12"/>
        </w:numPr>
        <w:jc w:val="both"/>
        <w:rPr>
          <w:rFonts w:ascii="Times New Roman" w:hAnsi="Times New Roman"/>
          <w:i/>
        </w:rPr>
      </w:pPr>
      <w:r w:rsidRPr="007636B5">
        <w:rPr>
          <w:rFonts w:ascii="Times New Roman" w:hAnsi="Times New Roman"/>
          <w:b/>
          <w:i/>
        </w:rPr>
        <w:t>Normativa sul Monitoraggio ambienta</w:t>
      </w:r>
      <w:r w:rsidR="004862FD" w:rsidRPr="007636B5">
        <w:rPr>
          <w:rFonts w:ascii="Times New Roman" w:hAnsi="Times New Roman"/>
          <w:b/>
          <w:i/>
        </w:rPr>
        <w:t>le</w:t>
      </w:r>
      <w:r w:rsidR="005710A1">
        <w:rPr>
          <w:rFonts w:ascii="Times New Roman" w:hAnsi="Times New Roman"/>
          <w:i/>
        </w:rPr>
        <w:t xml:space="preserve"> (</w:t>
      </w:r>
      <w:r w:rsidR="007636B5">
        <w:rPr>
          <w:rFonts w:ascii="Times New Roman" w:hAnsi="Times New Roman"/>
          <w:i/>
        </w:rPr>
        <w:t>P</w:t>
      </w:r>
      <w:r w:rsidR="004F26DF">
        <w:rPr>
          <w:rFonts w:ascii="Times New Roman" w:hAnsi="Times New Roman"/>
          <w:i/>
        </w:rPr>
        <w:t>ower point sul tema</w:t>
      </w:r>
      <w:r w:rsidR="005436CF">
        <w:rPr>
          <w:rFonts w:ascii="Times New Roman" w:hAnsi="Times New Roman"/>
          <w:i/>
        </w:rPr>
        <w:t>,</w:t>
      </w:r>
      <w:r w:rsidR="004F26DF">
        <w:rPr>
          <w:rFonts w:ascii="Times New Roman" w:hAnsi="Times New Roman"/>
          <w:i/>
        </w:rPr>
        <w:t xml:space="preserve"> </w:t>
      </w:r>
      <w:r w:rsidR="007636B5">
        <w:rPr>
          <w:rFonts w:ascii="Times New Roman" w:hAnsi="Times New Roman"/>
          <w:i/>
        </w:rPr>
        <w:t xml:space="preserve">inviato in </w:t>
      </w:r>
      <w:r w:rsidR="005710A1">
        <w:rPr>
          <w:rFonts w:ascii="Times New Roman" w:hAnsi="Times New Roman"/>
          <w:i/>
        </w:rPr>
        <w:t>data 30/04/2020</w:t>
      </w:r>
      <w:r w:rsidR="007636B5">
        <w:rPr>
          <w:rFonts w:ascii="Times New Roman" w:hAnsi="Times New Roman"/>
          <w:i/>
        </w:rPr>
        <w:t>, discussione nei giorni successivi</w:t>
      </w:r>
      <w:r w:rsidR="005710A1">
        <w:rPr>
          <w:rFonts w:ascii="Times New Roman" w:hAnsi="Times New Roman"/>
          <w:i/>
        </w:rPr>
        <w:t>)</w:t>
      </w:r>
    </w:p>
    <w:sectPr w:rsidR="00AC1549" w:rsidRPr="004862FD" w:rsidSect="007A22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80746"/>
    <w:multiLevelType w:val="hybridMultilevel"/>
    <w:tmpl w:val="B0985A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A8E"/>
    <w:multiLevelType w:val="hybridMultilevel"/>
    <w:tmpl w:val="CA42F328"/>
    <w:lvl w:ilvl="0" w:tplc="0410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311C8366">
      <w:start w:val="5"/>
      <w:numFmt w:val="bullet"/>
      <w:lvlText w:val="-"/>
      <w:lvlJc w:val="left"/>
      <w:pPr>
        <w:ind w:left="1621" w:hanging="36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2" w15:restartNumberingAfterBreak="0">
    <w:nsid w:val="102166AB"/>
    <w:multiLevelType w:val="hybridMultilevel"/>
    <w:tmpl w:val="DE88A3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EC5654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743DF"/>
    <w:multiLevelType w:val="hybridMultilevel"/>
    <w:tmpl w:val="1D8A91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3495A"/>
    <w:multiLevelType w:val="hybridMultilevel"/>
    <w:tmpl w:val="A40043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84B1F"/>
    <w:multiLevelType w:val="hybridMultilevel"/>
    <w:tmpl w:val="38B04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9E9B3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33BD9"/>
    <w:multiLevelType w:val="hybridMultilevel"/>
    <w:tmpl w:val="7624C1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020740"/>
    <w:multiLevelType w:val="hybridMultilevel"/>
    <w:tmpl w:val="B6A8C73A"/>
    <w:lvl w:ilvl="0" w:tplc="0410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8" w15:restartNumberingAfterBreak="0">
    <w:nsid w:val="5421363D"/>
    <w:multiLevelType w:val="hybridMultilevel"/>
    <w:tmpl w:val="100E6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D2E0F"/>
    <w:multiLevelType w:val="hybridMultilevel"/>
    <w:tmpl w:val="20A4B5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545A8"/>
    <w:multiLevelType w:val="hybridMultilevel"/>
    <w:tmpl w:val="1A1270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42906"/>
    <w:multiLevelType w:val="hybridMultilevel"/>
    <w:tmpl w:val="B08450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9"/>
  </w:num>
  <w:num w:numId="8">
    <w:abstractNumId w:val="4"/>
  </w:num>
  <w:num w:numId="9">
    <w:abstractNumId w:val="7"/>
  </w:num>
  <w:num w:numId="10">
    <w:abstractNumId w:val="8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55D"/>
    <w:rsid w:val="001C4EC9"/>
    <w:rsid w:val="003013F3"/>
    <w:rsid w:val="00306E2B"/>
    <w:rsid w:val="004862FD"/>
    <w:rsid w:val="004F26DF"/>
    <w:rsid w:val="005436CF"/>
    <w:rsid w:val="00550661"/>
    <w:rsid w:val="005710A1"/>
    <w:rsid w:val="005901CA"/>
    <w:rsid w:val="00616338"/>
    <w:rsid w:val="00655B72"/>
    <w:rsid w:val="00657F67"/>
    <w:rsid w:val="007636B5"/>
    <w:rsid w:val="00792002"/>
    <w:rsid w:val="008959F6"/>
    <w:rsid w:val="00AC1549"/>
    <w:rsid w:val="00AC4BFE"/>
    <w:rsid w:val="00AF5812"/>
    <w:rsid w:val="00D4265E"/>
    <w:rsid w:val="00DF5895"/>
    <w:rsid w:val="00E826B9"/>
    <w:rsid w:val="00E910C3"/>
    <w:rsid w:val="00EB7B02"/>
    <w:rsid w:val="00F2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E7DC0-D624-4E08-A54F-F17294772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755D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2755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7636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9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svis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stella papa</cp:lastModifiedBy>
  <cp:revision>2</cp:revision>
  <dcterms:created xsi:type="dcterms:W3CDTF">2020-05-03T17:05:00Z</dcterms:created>
  <dcterms:modified xsi:type="dcterms:W3CDTF">2020-05-03T17:05:00Z</dcterms:modified>
</cp:coreProperties>
</file>