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7BF91" w14:textId="77777777" w:rsidR="00287AE9" w:rsidRPr="003F70D0" w:rsidRDefault="00287AE9" w:rsidP="003F70D0">
      <w:pPr>
        <w:pStyle w:val="Paragrafoelenco"/>
        <w:suppressAutoHyphens/>
        <w:autoSpaceDN w:val="0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>STORIA DELL'ARTE</w:t>
      </w:r>
    </w:p>
    <w:p w14:paraId="26CD06A7" w14:textId="7075ADF6" w:rsidR="00287AE9" w:rsidRPr="003F70D0" w:rsidRDefault="00287AE9" w:rsidP="003F70D0">
      <w:pPr>
        <w:pStyle w:val="Paragrafoelenco"/>
        <w:suppressAutoHyphens/>
        <w:autoSpaceDN w:val="0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>PROGRAMMA SVOLTO DALLA CLASSE V</w:t>
      </w:r>
      <w:r w:rsidR="003F70D0"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 xml:space="preserve"> Esa</w:t>
      </w:r>
    </w:p>
    <w:p w14:paraId="2284FA81" w14:textId="6D9FAC4D" w:rsidR="00287AE9" w:rsidRPr="003F70D0" w:rsidRDefault="00287AE9" w:rsidP="003F70D0">
      <w:pPr>
        <w:pStyle w:val="Paragrafoelenco"/>
        <w:suppressAutoHyphens/>
        <w:autoSpaceDN w:val="0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>a.s.</w:t>
      </w:r>
      <w:r w:rsidR="003F70D0"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 xml:space="preserve"> </w:t>
      </w:r>
      <w:r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>201</w:t>
      </w:r>
      <w:r w:rsidR="00E30A83"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>9</w:t>
      </w:r>
      <w:r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>.</w:t>
      </w:r>
      <w:r w:rsidR="00E30A83"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>2020</w:t>
      </w:r>
    </w:p>
    <w:p w14:paraId="628AE56D" w14:textId="77777777" w:rsidR="00287AE9" w:rsidRPr="003F70D0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>Modulo 1: Dalla Rivoluzione industriale alla Rivoluzione Francese</w:t>
      </w:r>
    </w:p>
    <w:p w14:paraId="05907A24" w14:textId="77777777" w:rsidR="00287AE9" w:rsidRPr="003F70D0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Illuminismo e Neoclassicismo: profilo storico e caratteri generali.</w:t>
      </w:r>
    </w:p>
    <w:p w14:paraId="12AA6E01" w14:textId="70415086" w:rsidR="00287AE9" w:rsidRPr="003F70D0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Antonio Canova: “Teseo sul Minotauro”, “Amore e Psiche”, “Ebe”, “Paolina Borghese”,</w:t>
      </w:r>
      <w:r w:rsidR="00E30A83" w:rsidRP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 </w:t>
      </w:r>
      <w:r w:rsidRP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”Monument</w:t>
      </w:r>
      <w:r w:rsidR="004D5AC8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o</w:t>
      </w:r>
      <w:r w:rsidRP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 funebre a Maria Cristina D’Austria”.</w:t>
      </w:r>
    </w:p>
    <w:p w14:paraId="2F4AD54F" w14:textId="77777777" w:rsidR="00287AE9" w:rsidRPr="003F70D0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Jacques Louis David: “Il giuramento degli Orazi”, “La morte di Marat”.</w:t>
      </w:r>
    </w:p>
    <w:p w14:paraId="64E61356" w14:textId="5668C582" w:rsidR="00287AE9" w:rsidRPr="003F70D0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Architettura Neoclassica: Robert Adam, Leo von Kleenze, Giuseppe Piermarini, Pietro Bianchi.</w:t>
      </w:r>
    </w:p>
    <w:p w14:paraId="0A3FF524" w14:textId="1E3B504A" w:rsidR="003F70D0" w:rsidRDefault="003F70D0" w:rsidP="003F70D0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0D0">
        <w:rPr>
          <w:rFonts w:ascii="Times New Roman" w:hAnsi="Times New Roman" w:cs="Times New Roman"/>
          <w:sz w:val="24"/>
          <w:szCs w:val="24"/>
        </w:rPr>
        <w:t>Canova, Quatremere de Quincy, Napoleone, due papi.</w:t>
      </w:r>
    </w:p>
    <w:p w14:paraId="6483F149" w14:textId="77777777" w:rsidR="003F70D0" w:rsidRPr="003F70D0" w:rsidRDefault="003F70D0" w:rsidP="003F70D0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65306" w14:textId="77777777" w:rsidR="003F70D0" w:rsidRPr="003F70D0" w:rsidRDefault="003F70D0" w:rsidP="003F7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B219B" w14:textId="0A5FB2B3" w:rsidR="00287AE9" w:rsidRPr="003F70D0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>Modulo 2: L’Europa della Restaurazione”.</w:t>
      </w:r>
    </w:p>
    <w:p w14:paraId="4844E829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Romanticismo. Profilo storico e caratteri generali.</w:t>
      </w:r>
    </w:p>
    <w:p w14:paraId="168B5738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C.D. Friedrick “Il naufragio della Speranza”, “Viandante sul mare di nebbia”.</w:t>
      </w:r>
    </w:p>
    <w:p w14:paraId="7A9DCF84" w14:textId="4EFD60C2" w:rsidR="00287AE9" w:rsidRPr="003B0F09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J: Constable </w:t>
      </w:r>
      <w:r w:rsidR="003B0F09" w:rsidRPr="003B0F09">
        <w:rPr>
          <w:rFonts w:ascii="Times New Roman" w:hAnsi="Times New Roman" w:cs="Times New Roman"/>
          <w:sz w:val="24"/>
          <w:szCs w:val="24"/>
        </w:rPr>
        <w:t>“Cirri e nuvole”.</w:t>
      </w:r>
    </w:p>
    <w:p w14:paraId="132EE26F" w14:textId="77777777" w:rsidR="00287AE9" w:rsidRPr="003B0F09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3B0F09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J. W. Turner: "Ombra e tenebre. La sera del Diluvio", "Tramonto".</w:t>
      </w:r>
    </w:p>
    <w:p w14:paraId="08B169F6" w14:textId="436172DF" w:rsidR="00287AE9" w:rsidRPr="003B0F09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3B0F09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Theodore Gericault: “La zattera della Medusa”</w:t>
      </w:r>
      <w:r w:rsidR="003B0F09" w:rsidRPr="003B0F09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.</w:t>
      </w:r>
    </w:p>
    <w:p w14:paraId="193AA73C" w14:textId="3844E67E" w:rsidR="00287AE9" w:rsidRPr="003B0F09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3B0F09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Eugene Delacroix:</w:t>
      </w:r>
      <w:r w:rsidR="003B0F09" w:rsidRPr="003B0F09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 </w:t>
      </w:r>
      <w:r w:rsid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“</w:t>
      </w:r>
      <w:r w:rsidRPr="003B0F09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La Libertà che guida il popolo”.</w:t>
      </w:r>
    </w:p>
    <w:p w14:paraId="124105D4" w14:textId="32425B6E" w:rsidR="003B0F09" w:rsidRDefault="00287AE9" w:rsidP="006D7C9F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3B0F09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Il Realismo: profilo storico e caratteri generali.</w:t>
      </w:r>
    </w:p>
    <w:p w14:paraId="304A716E" w14:textId="0D79BF9F" w:rsidR="00287AE9" w:rsidRPr="003F70D0" w:rsidRDefault="006D7C9F" w:rsidP="006D7C9F">
      <w:p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            </w:t>
      </w:r>
      <w:r w:rsidR="00287AE9" w:rsidRP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Gustave Courbet: </w:t>
      </w:r>
      <w:r w:rsidR="003B0F09" w:rsidRPr="003F70D0">
        <w:rPr>
          <w:rFonts w:ascii="Times New Roman" w:hAnsi="Times New Roman" w:cs="Times New Roman"/>
          <w:sz w:val="24"/>
          <w:szCs w:val="24"/>
        </w:rPr>
        <w:t xml:space="preserve">il Realismo. Gustave Courbet “Gli spaccapietre”, “Lo spaccapietre”, </w:t>
      </w:r>
      <w:r w:rsidR="003F70D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0F09" w:rsidRPr="003F70D0">
        <w:rPr>
          <w:rFonts w:ascii="Times New Roman" w:hAnsi="Times New Roman" w:cs="Times New Roman"/>
          <w:sz w:val="24"/>
          <w:szCs w:val="24"/>
        </w:rPr>
        <w:t>“Funerale ad Ornans”, “L’atelier del pittore”, “Fanciulle sulle rive della Senna”.</w:t>
      </w:r>
      <w:r w:rsidR="003932E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0A9FA78" w14:textId="05C80FA0" w:rsidR="003B0F09" w:rsidRPr="003B0F09" w:rsidRDefault="003B0F09" w:rsidP="003F70D0">
      <w:pPr>
        <w:pStyle w:val="Paragrafoelenco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3B0F09">
        <w:rPr>
          <w:rFonts w:ascii="Times New Roman" w:hAnsi="Times New Roman" w:cs="Times New Roman"/>
          <w:sz w:val="24"/>
          <w:szCs w:val="24"/>
        </w:rPr>
        <w:t xml:space="preserve">i Macchiaioli. Giovanni Fattori “Campo italiano alla battaglia di Magenta “, “La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3B0F09">
        <w:rPr>
          <w:rFonts w:ascii="Times New Roman" w:hAnsi="Times New Roman" w:cs="Times New Roman"/>
          <w:sz w:val="24"/>
          <w:szCs w:val="24"/>
        </w:rPr>
        <w:t xml:space="preserve">otonda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0F09">
        <w:rPr>
          <w:rFonts w:ascii="Times New Roman" w:hAnsi="Times New Roman" w:cs="Times New Roman"/>
          <w:sz w:val="24"/>
          <w:szCs w:val="24"/>
        </w:rPr>
        <w:t>i Palmieri”, “In vedetta”, “Bo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3B0F09">
        <w:rPr>
          <w:rFonts w:ascii="Times New Roman" w:hAnsi="Times New Roman" w:cs="Times New Roman"/>
          <w:sz w:val="24"/>
          <w:szCs w:val="24"/>
        </w:rPr>
        <w:t>i al carro”.</w:t>
      </w:r>
    </w:p>
    <w:p w14:paraId="32EE5ED4" w14:textId="4A1888A7" w:rsidR="00287AE9" w:rsidRPr="003B0F09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3B0F09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Architettura del ferro in Europa. “Palazzo di Cristallo”, “Galleria delle macchine”, “Torre Eiffel”, “Galleria Vittorio Emanuele II”</w:t>
      </w:r>
      <w:r w:rsidR="003B0F09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, </w:t>
      </w:r>
      <w:r w:rsidR="003B0F09" w:rsidRPr="003B0F09">
        <w:rPr>
          <w:rFonts w:ascii="Times New Roman" w:hAnsi="Times New Roman" w:cs="Times New Roman"/>
          <w:sz w:val="24"/>
          <w:szCs w:val="24"/>
        </w:rPr>
        <w:t>“Galleria Umberto I”.</w:t>
      </w:r>
    </w:p>
    <w:p w14:paraId="096F3342" w14:textId="77777777" w:rsidR="003F70D0" w:rsidRDefault="003F70D0" w:rsidP="003F70D0">
      <w:pPr>
        <w:suppressAutoHyphens/>
        <w:autoSpaceDN w:val="0"/>
        <w:spacing w:after="0" w:line="48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</w:pPr>
    </w:p>
    <w:p w14:paraId="7DB8CAFF" w14:textId="34E67DA7" w:rsidR="00287AE9" w:rsidRPr="003F70D0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>Modulo 3: La stagione dell’Impressionismo e del Post-impressionismo.</w:t>
      </w:r>
    </w:p>
    <w:p w14:paraId="35508CA0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it-IT"/>
        </w:rPr>
        <w:t>Impressionismo: profilo storico e caratteri generali.</w:t>
      </w:r>
    </w:p>
    <w:p w14:paraId="6E2FB6DB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Edouard Manet: “Colazione sull’erba”, “Olympia”, “Il bar delle Folies-Bergeres”.</w:t>
      </w:r>
    </w:p>
    <w:p w14:paraId="3786DC81" w14:textId="42AEBAB7" w:rsidR="00287AE9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Claude Manet:</w:t>
      </w:r>
      <w:r w:rsidR="005A5C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 “La gazza”,</w:t>
      </w: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 “Impressione, sole nascente”, “La cattedrale di Rouen”, “Lo stagno delle ninfee”.</w:t>
      </w:r>
    </w:p>
    <w:p w14:paraId="443DCA15" w14:textId="42A26B5C" w:rsidR="005A5CD0" w:rsidRPr="005A5CD0" w:rsidRDefault="005A5CD0" w:rsidP="003F70D0">
      <w:pPr>
        <w:pStyle w:val="Paragrafoelenco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5A5CD0">
        <w:rPr>
          <w:rFonts w:ascii="Times New Roman" w:hAnsi="Times New Roman" w:cs="Times New Roman"/>
          <w:sz w:val="24"/>
          <w:szCs w:val="24"/>
        </w:rPr>
        <w:t>Edgar Degas “La lezione di danza”, “L’assenzio”, “Quattro ballerine in blu”.</w:t>
      </w:r>
    </w:p>
    <w:p w14:paraId="4BC61EE6" w14:textId="5932F6EF" w:rsidR="00287AE9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Post-impressionismo.</w:t>
      </w:r>
    </w:p>
    <w:p w14:paraId="2D65DE1B" w14:textId="30E144B5" w:rsidR="005A5CD0" w:rsidRPr="005A5CD0" w:rsidRDefault="005A5CD0" w:rsidP="003F70D0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CD0">
        <w:rPr>
          <w:rFonts w:ascii="Times New Roman" w:hAnsi="Times New Roman" w:cs="Times New Roman"/>
          <w:sz w:val="24"/>
          <w:szCs w:val="24"/>
        </w:rPr>
        <w:t>Impressionism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5A5CD0">
        <w:rPr>
          <w:rFonts w:ascii="Times New Roman" w:hAnsi="Times New Roman" w:cs="Times New Roman"/>
          <w:sz w:val="24"/>
          <w:szCs w:val="24"/>
        </w:rPr>
        <w:t>Scientifico: Seurat “ Une baignade a Asnieres”, “ Un</w:t>
      </w:r>
    </w:p>
    <w:p w14:paraId="1338273D" w14:textId="37B598BB" w:rsidR="005A5CD0" w:rsidRPr="003F70D0" w:rsidRDefault="003F70D0" w:rsidP="003F70D0">
      <w:pPr>
        <w:suppressAutoHyphens/>
        <w:autoSpaceDN w:val="0"/>
        <w:spacing w:after="0" w:line="48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A5CD0" w:rsidRPr="003F70D0">
        <w:rPr>
          <w:rFonts w:ascii="Times New Roman" w:hAnsi="Times New Roman" w:cs="Times New Roman"/>
          <w:sz w:val="24"/>
          <w:szCs w:val="24"/>
        </w:rPr>
        <w:t>finanche spread-midi”.</w:t>
      </w:r>
    </w:p>
    <w:p w14:paraId="5832D843" w14:textId="77777777" w:rsidR="005A5CD0" w:rsidRPr="005A5CD0" w:rsidRDefault="005A5CD0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5A5CD0">
        <w:rPr>
          <w:rFonts w:ascii="Times New Roman" w:hAnsi="Times New Roman" w:cs="Times New Roman"/>
          <w:sz w:val="24"/>
          <w:szCs w:val="24"/>
        </w:rPr>
        <w:t>Divisionismo italiano: Pellizza da Volpedo "Il Quarto Stato</w:t>
      </w:r>
      <w:r w:rsidRPr="005A5CD0">
        <w:rPr>
          <w:rFonts w:ascii="Arial" w:hAnsi="Arial" w:cs="Arial"/>
          <w:sz w:val="18"/>
          <w:szCs w:val="18"/>
        </w:rPr>
        <w:t>"</w:t>
      </w:r>
      <w:r>
        <w:rPr>
          <w:rFonts w:ascii="Arial" w:hAnsi="Arial" w:cs="Arial"/>
          <w:sz w:val="18"/>
          <w:szCs w:val="18"/>
        </w:rPr>
        <w:t>.</w:t>
      </w:r>
    </w:p>
    <w:p w14:paraId="0A9C35D3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Paul Cezanne: “La casa dell’impiccato”, “I bagnanti”, “I giocatori di carte”, “La montagna di Saint-Victoire”.</w:t>
      </w:r>
    </w:p>
    <w:p w14:paraId="7DEAD4EF" w14:textId="4CB1142D" w:rsidR="005A5CD0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Vincent van Gogh: “I mangiatori di patate”, “Autoritratto”, “Veduta di Arles”,</w:t>
      </w:r>
      <w:r w:rsidR="005A5C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 </w:t>
      </w: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“Notte stellata”, “Campo di grano con volo di corvi”.</w:t>
      </w:r>
    </w:p>
    <w:p w14:paraId="405FDECF" w14:textId="77777777" w:rsidR="003F70D0" w:rsidRDefault="003F70D0" w:rsidP="003F70D0">
      <w:pPr>
        <w:suppressAutoHyphens/>
        <w:autoSpaceDN w:val="0"/>
        <w:spacing w:after="0" w:line="48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</w:p>
    <w:p w14:paraId="40F5EC79" w14:textId="77777777" w:rsidR="00287AE9" w:rsidRPr="003F70D0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it-IT"/>
        </w:rPr>
        <w:t xml:space="preserve">Modulo 4: </w:t>
      </w:r>
      <w:r w:rsidRPr="003F70D0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fr-FR" w:eastAsia="it-IT"/>
        </w:rPr>
        <w:t xml:space="preserve">Belle Epoque </w:t>
      </w:r>
      <w:r w:rsidRPr="003F70D0">
        <w:rPr>
          <w:rFonts w:ascii="Times New Roman" w:eastAsia="Times New Roman" w:hAnsi="Times New Roman" w:cs="Times New Roman"/>
          <w:b/>
          <w:kern w:val="3"/>
          <w:sz w:val="24"/>
          <w:szCs w:val="24"/>
          <w:lang w:val="fr-FR" w:eastAsia="it-IT"/>
        </w:rPr>
        <w:t xml:space="preserve">e </w:t>
      </w:r>
      <w:r w:rsidRPr="003F70D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it-IT"/>
        </w:rPr>
        <w:t>Art Nouveau</w:t>
      </w:r>
    </w:p>
    <w:p w14:paraId="30158068" w14:textId="38F38A95" w:rsidR="00287AE9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Gustave Klimt: “Giuditta I”, “Giuditta II”, “Danae”, “Il bacio”.</w:t>
      </w:r>
    </w:p>
    <w:p w14:paraId="721858BB" w14:textId="77777777" w:rsidR="003F70D0" w:rsidRPr="009336B2" w:rsidRDefault="003F70D0" w:rsidP="003F70D0">
      <w:pPr>
        <w:suppressAutoHyphens/>
        <w:autoSpaceDN w:val="0"/>
        <w:spacing w:after="0" w:line="48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</w:p>
    <w:p w14:paraId="43EBEC79" w14:textId="77777777" w:rsidR="00287AE9" w:rsidRPr="003F70D0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>Modulo 5: L’Espressionismo.</w:t>
      </w:r>
    </w:p>
    <w:p w14:paraId="4CDBBDDD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EdvardMunch: “La fanciulla malata”, “Sera nel corso Karl Johann”, “Il grido”, “Pubertà”.</w:t>
      </w:r>
    </w:p>
    <w:p w14:paraId="250FB44F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it-IT"/>
        </w:rPr>
        <w:t>J: Ensor “L’ingresso di Cristo a Bruxelles”.</w:t>
      </w:r>
    </w:p>
    <w:p w14:paraId="6684F930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it-IT"/>
        </w:rPr>
        <w:t>Espressionismo: profilo storico e caratteri generali.</w:t>
      </w:r>
    </w:p>
    <w:p w14:paraId="16589303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I Fauves ed H. Matisse: “Donna con cappello”, “La stanza rossa”, “La danza”.</w:t>
      </w:r>
    </w:p>
    <w:p w14:paraId="5F0C9522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Espressionismo tedesco: Die Brucke.</w:t>
      </w:r>
    </w:p>
    <w:p w14:paraId="00C2184A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Ernst Kirchner. “Due donne per la strada”.</w:t>
      </w:r>
    </w:p>
    <w:p w14:paraId="312A87AE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lastRenderedPageBreak/>
        <w:t>Ernst Heckel: “Giornata limpida”.</w:t>
      </w:r>
    </w:p>
    <w:p w14:paraId="47A3EBEA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E. Schiele “Abbraccio”.</w:t>
      </w:r>
    </w:p>
    <w:p w14:paraId="59C7646A" w14:textId="77777777" w:rsidR="003F70D0" w:rsidRDefault="003F70D0" w:rsidP="003F70D0">
      <w:pPr>
        <w:suppressAutoHyphens/>
        <w:autoSpaceDN w:val="0"/>
        <w:spacing w:after="0" w:line="48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</w:pPr>
    </w:p>
    <w:p w14:paraId="769E3CD8" w14:textId="0A0E1850" w:rsidR="00287AE9" w:rsidRPr="003F70D0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it-IT"/>
        </w:rPr>
        <w:t>Modulo 6: Il Cubismo.</w:t>
      </w:r>
    </w:p>
    <w:p w14:paraId="2F9121E8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Il Novecento delle Avanguardie storiche.</w:t>
      </w:r>
    </w:p>
    <w:p w14:paraId="6DCE896F" w14:textId="77777777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Il Cubismo nelle sue fasi: analitico, scientifico, dei papiers colles e collage.</w:t>
      </w:r>
    </w:p>
    <w:p w14:paraId="277B6475" w14:textId="4B00FCC9" w:rsidR="00287AE9" w:rsidRPr="009336B2" w:rsidRDefault="00287AE9" w:rsidP="003F70D0">
      <w:pPr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Pablo Picasso: “Poveri in riva al mare”, “Famiglia di saltimbanchi”, Le demoiselles d’Avignon”, “Ritratto di Ambroise</w:t>
      </w:r>
      <w:r w:rsidR="00544DA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 </w:t>
      </w:r>
      <w:r w:rsidRPr="009336B2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Vollard”, “Natura morta con sedia impagliata”, “I tre musici”, “Ritratto di donna”, “Guernica”.       </w:t>
      </w:r>
    </w:p>
    <w:p w14:paraId="55F14730" w14:textId="633131E4" w:rsidR="00287AE9" w:rsidRPr="003F70D0" w:rsidRDefault="00287AE9" w:rsidP="003F70D0">
      <w:pPr>
        <w:pStyle w:val="Paragrafoelenco"/>
        <w:numPr>
          <w:ilvl w:val="0"/>
          <w:numId w:val="18"/>
        </w:num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Libro di testo: </w:t>
      </w:r>
      <w:r w:rsidRPr="003F70D0">
        <w:rPr>
          <w:rFonts w:ascii="Times New Roman" w:eastAsia="Times New Roman" w:hAnsi="Times New Roman" w:cs="Times New Roman"/>
          <w:kern w:val="3"/>
          <w:lang w:eastAsia="it-IT"/>
        </w:rPr>
        <w:t>“Itinerario nell’arte” vol.</w:t>
      </w:r>
      <w:r w:rsidR="003F70D0" w:rsidRPr="003F70D0">
        <w:rPr>
          <w:rFonts w:ascii="Times New Roman" w:eastAsia="Times New Roman" w:hAnsi="Times New Roman" w:cs="Times New Roman"/>
          <w:kern w:val="3"/>
          <w:lang w:eastAsia="it-IT"/>
        </w:rPr>
        <w:t>4-5</w:t>
      </w:r>
      <w:r w:rsidRPr="003F70D0">
        <w:rPr>
          <w:rFonts w:ascii="Times New Roman" w:eastAsia="Times New Roman" w:hAnsi="Times New Roman" w:cs="Times New Roman"/>
          <w:kern w:val="3"/>
          <w:lang w:eastAsia="it-IT"/>
        </w:rPr>
        <w:t xml:space="preserve"> versione </w:t>
      </w:r>
      <w:r w:rsidR="003F70D0" w:rsidRPr="003F70D0">
        <w:rPr>
          <w:rFonts w:ascii="Times New Roman" w:eastAsia="Times New Roman" w:hAnsi="Times New Roman" w:cs="Times New Roman"/>
          <w:kern w:val="3"/>
          <w:lang w:eastAsia="it-IT"/>
        </w:rPr>
        <w:t>arancione</w:t>
      </w:r>
      <w:r w:rsidRPr="003F70D0">
        <w:rPr>
          <w:rFonts w:ascii="Times New Roman" w:eastAsia="Times New Roman" w:hAnsi="Times New Roman" w:cs="Times New Roman"/>
          <w:kern w:val="3"/>
          <w:lang w:eastAsia="it-IT"/>
        </w:rPr>
        <w:t xml:space="preserve">   Cricco-Di Teodoro    Zanichelli</w:t>
      </w:r>
    </w:p>
    <w:p w14:paraId="2444E890" w14:textId="77777777" w:rsidR="00287AE9" w:rsidRPr="009336B2" w:rsidRDefault="00287AE9" w:rsidP="003F70D0">
      <w:p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</w:p>
    <w:p w14:paraId="029AAAEB" w14:textId="63EFEDFD" w:rsidR="00287AE9" w:rsidRPr="003F70D0" w:rsidRDefault="00287AE9" w:rsidP="005F4160">
      <w:pPr>
        <w:pStyle w:val="Paragrafoelenco"/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Napoli 15.05.20</w:t>
      </w:r>
      <w:r w:rsidR="005A5CD0" w:rsidRP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20</w:t>
      </w:r>
      <w:r w:rsidRP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 xml:space="preserve">                                                                           La docente                    </w:t>
      </w:r>
    </w:p>
    <w:p w14:paraId="029B9B3E" w14:textId="5990CDEC" w:rsidR="00287AE9" w:rsidRPr="003F70D0" w:rsidRDefault="00287AE9" w:rsidP="005F4160">
      <w:pPr>
        <w:pStyle w:val="Paragrafoelenco"/>
        <w:suppressAutoHyphens/>
        <w:autoSpaceDN w:val="0"/>
        <w:spacing w:after="0" w:line="480" w:lineRule="auto"/>
        <w:ind w:left="648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3F70D0"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  <w:t>Prof.ssa Maria Conti</w:t>
      </w:r>
    </w:p>
    <w:p w14:paraId="269F50E6" w14:textId="6A20F210" w:rsidR="00287AE9" w:rsidRPr="009336B2" w:rsidRDefault="00287AE9" w:rsidP="003F70D0">
      <w:pPr>
        <w:suppressAutoHyphens/>
        <w:autoSpaceDN w:val="0"/>
        <w:spacing w:after="0" w:line="480" w:lineRule="auto"/>
        <w:ind w:firstLine="2832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</w:p>
    <w:p w14:paraId="48EF5AF2" w14:textId="0CF352B7" w:rsidR="00287AE9" w:rsidRPr="009336B2" w:rsidRDefault="00287AE9" w:rsidP="003F70D0">
      <w:pPr>
        <w:suppressAutoHyphens/>
        <w:autoSpaceDN w:val="0"/>
        <w:spacing w:after="0" w:line="480" w:lineRule="auto"/>
        <w:ind w:firstLine="566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</w:p>
    <w:p w14:paraId="2180CE7B" w14:textId="77777777" w:rsidR="00287AE9" w:rsidRDefault="00287AE9" w:rsidP="003F70D0">
      <w:pPr>
        <w:jc w:val="both"/>
      </w:pPr>
    </w:p>
    <w:p w14:paraId="560DA1C5" w14:textId="77777777" w:rsidR="00A56078" w:rsidRDefault="00A56078" w:rsidP="003F70D0">
      <w:pPr>
        <w:jc w:val="both"/>
      </w:pPr>
    </w:p>
    <w:sectPr w:rsidR="00A560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86248"/>
    <w:multiLevelType w:val="hybridMultilevel"/>
    <w:tmpl w:val="8214B95A"/>
    <w:lvl w:ilvl="0" w:tplc="04100005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B2B0F9E"/>
    <w:multiLevelType w:val="hybridMultilevel"/>
    <w:tmpl w:val="5E6820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D4345"/>
    <w:multiLevelType w:val="hybridMultilevel"/>
    <w:tmpl w:val="4342BE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D0053"/>
    <w:multiLevelType w:val="multilevel"/>
    <w:tmpl w:val="DF9296DE"/>
    <w:styleLink w:val="WWNum9"/>
    <w:lvl w:ilvl="0">
      <w:numFmt w:val="bullet"/>
      <w:lvlText w:val=""/>
      <w:lvlJc w:val="left"/>
      <w:pPr>
        <w:ind w:left="1077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4" w15:restartNumberingAfterBreak="0">
    <w:nsid w:val="199F104A"/>
    <w:multiLevelType w:val="hybridMultilevel"/>
    <w:tmpl w:val="0F86D29C"/>
    <w:lvl w:ilvl="0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2F012C9"/>
    <w:multiLevelType w:val="multilevel"/>
    <w:tmpl w:val="D3367564"/>
    <w:styleLink w:val="WWNum13"/>
    <w:lvl w:ilvl="0"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6D91CF9"/>
    <w:multiLevelType w:val="multilevel"/>
    <w:tmpl w:val="68202622"/>
    <w:styleLink w:val="WWNum5"/>
    <w:lvl w:ilvl="0">
      <w:numFmt w:val="bullet"/>
      <w:lvlText w:val=""/>
      <w:lvlJc w:val="left"/>
      <w:pPr>
        <w:ind w:left="1077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7" w15:restartNumberingAfterBreak="0">
    <w:nsid w:val="30765B13"/>
    <w:multiLevelType w:val="hybridMultilevel"/>
    <w:tmpl w:val="2DCC3D1E"/>
    <w:lvl w:ilvl="0" w:tplc="0410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0F55779"/>
    <w:multiLevelType w:val="multilevel"/>
    <w:tmpl w:val="21BC7636"/>
    <w:styleLink w:val="WWNum22"/>
    <w:lvl w:ilvl="0">
      <w:numFmt w:val="bullet"/>
      <w:lvlText w:val=""/>
      <w:lvlJc w:val="left"/>
      <w:pPr>
        <w:ind w:left="1077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" w15:restartNumberingAfterBreak="0">
    <w:nsid w:val="37502653"/>
    <w:multiLevelType w:val="hybridMultilevel"/>
    <w:tmpl w:val="FDAC6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919B1"/>
    <w:multiLevelType w:val="multilevel"/>
    <w:tmpl w:val="2DAC9D86"/>
    <w:styleLink w:val="WWNum7"/>
    <w:lvl w:ilvl="0">
      <w:numFmt w:val="bullet"/>
      <w:lvlText w:val=""/>
      <w:lvlJc w:val="left"/>
      <w:pPr>
        <w:ind w:left="1077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1" w15:restartNumberingAfterBreak="0">
    <w:nsid w:val="44E9514D"/>
    <w:multiLevelType w:val="multilevel"/>
    <w:tmpl w:val="97703F9E"/>
    <w:styleLink w:val="WWNum15"/>
    <w:lvl w:ilvl="0"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 w15:restartNumberingAfterBreak="0">
    <w:nsid w:val="4A1143BA"/>
    <w:multiLevelType w:val="hybridMultilevel"/>
    <w:tmpl w:val="FFBA375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630B68"/>
    <w:multiLevelType w:val="hybridMultilevel"/>
    <w:tmpl w:val="9A2C01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370E2"/>
    <w:multiLevelType w:val="hybridMultilevel"/>
    <w:tmpl w:val="AA0E58F2"/>
    <w:lvl w:ilvl="0" w:tplc="0410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57662FAC"/>
    <w:multiLevelType w:val="hybridMultilevel"/>
    <w:tmpl w:val="3E360F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A3CB1"/>
    <w:multiLevelType w:val="hybridMultilevel"/>
    <w:tmpl w:val="2280E60E"/>
    <w:lvl w:ilvl="0" w:tplc="04100005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7" w15:restartNumberingAfterBreak="0">
    <w:nsid w:val="76491EA3"/>
    <w:multiLevelType w:val="multilevel"/>
    <w:tmpl w:val="F5789E88"/>
    <w:styleLink w:val="WWNum16"/>
    <w:lvl w:ilvl="0"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5"/>
  </w:num>
  <w:num w:numId="5">
    <w:abstractNumId w:val="11"/>
  </w:num>
  <w:num w:numId="6">
    <w:abstractNumId w:val="17"/>
  </w:num>
  <w:num w:numId="7">
    <w:abstractNumId w:val="8"/>
  </w:num>
  <w:num w:numId="8">
    <w:abstractNumId w:val="7"/>
  </w:num>
  <w:num w:numId="9">
    <w:abstractNumId w:val="12"/>
  </w:num>
  <w:num w:numId="10">
    <w:abstractNumId w:val="9"/>
  </w:num>
  <w:num w:numId="11">
    <w:abstractNumId w:val="16"/>
  </w:num>
  <w:num w:numId="12">
    <w:abstractNumId w:val="0"/>
  </w:num>
  <w:num w:numId="13">
    <w:abstractNumId w:val="14"/>
  </w:num>
  <w:num w:numId="14">
    <w:abstractNumId w:val="1"/>
  </w:num>
  <w:num w:numId="15">
    <w:abstractNumId w:val="4"/>
  </w:num>
  <w:num w:numId="16">
    <w:abstractNumId w:val="2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695"/>
    <w:rsid w:val="00030695"/>
    <w:rsid w:val="00287AE9"/>
    <w:rsid w:val="003932EB"/>
    <w:rsid w:val="003B0F09"/>
    <w:rsid w:val="003F70D0"/>
    <w:rsid w:val="0049603C"/>
    <w:rsid w:val="004D5AC8"/>
    <w:rsid w:val="00544DA0"/>
    <w:rsid w:val="005A5CD0"/>
    <w:rsid w:val="005F4160"/>
    <w:rsid w:val="006D7C9F"/>
    <w:rsid w:val="00A56078"/>
    <w:rsid w:val="00E3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A5AA7"/>
  <w15:chartTrackingRefBased/>
  <w15:docId w15:val="{B32D5FD8-261D-4475-B4DE-6063B384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7A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Num5">
    <w:name w:val="WWNum5"/>
    <w:basedOn w:val="Nessunelenco"/>
    <w:rsid w:val="00287AE9"/>
    <w:pPr>
      <w:numPr>
        <w:numId w:val="1"/>
      </w:numPr>
    </w:pPr>
  </w:style>
  <w:style w:type="numbering" w:customStyle="1" w:styleId="WWNum7">
    <w:name w:val="WWNum7"/>
    <w:basedOn w:val="Nessunelenco"/>
    <w:rsid w:val="00287AE9"/>
    <w:pPr>
      <w:numPr>
        <w:numId w:val="2"/>
      </w:numPr>
    </w:pPr>
  </w:style>
  <w:style w:type="numbering" w:customStyle="1" w:styleId="WWNum9">
    <w:name w:val="WWNum9"/>
    <w:basedOn w:val="Nessunelenco"/>
    <w:rsid w:val="00287AE9"/>
    <w:pPr>
      <w:numPr>
        <w:numId w:val="3"/>
      </w:numPr>
    </w:pPr>
  </w:style>
  <w:style w:type="numbering" w:customStyle="1" w:styleId="WWNum13">
    <w:name w:val="WWNum13"/>
    <w:basedOn w:val="Nessunelenco"/>
    <w:rsid w:val="00287AE9"/>
    <w:pPr>
      <w:numPr>
        <w:numId w:val="4"/>
      </w:numPr>
    </w:pPr>
  </w:style>
  <w:style w:type="numbering" w:customStyle="1" w:styleId="WWNum15">
    <w:name w:val="WWNum15"/>
    <w:basedOn w:val="Nessunelenco"/>
    <w:rsid w:val="00287AE9"/>
    <w:pPr>
      <w:numPr>
        <w:numId w:val="5"/>
      </w:numPr>
    </w:pPr>
  </w:style>
  <w:style w:type="numbering" w:customStyle="1" w:styleId="WWNum16">
    <w:name w:val="WWNum16"/>
    <w:basedOn w:val="Nessunelenco"/>
    <w:rsid w:val="00287AE9"/>
    <w:pPr>
      <w:numPr>
        <w:numId w:val="6"/>
      </w:numPr>
    </w:pPr>
  </w:style>
  <w:style w:type="numbering" w:customStyle="1" w:styleId="WWNum22">
    <w:name w:val="WWNum22"/>
    <w:basedOn w:val="Nessunelenco"/>
    <w:rsid w:val="00287AE9"/>
    <w:pPr>
      <w:numPr>
        <w:numId w:val="7"/>
      </w:numPr>
    </w:pPr>
  </w:style>
  <w:style w:type="paragraph" w:styleId="Paragrafoelenco">
    <w:name w:val="List Paragraph"/>
    <w:basedOn w:val="Normale"/>
    <w:uiPriority w:val="34"/>
    <w:qFormat/>
    <w:rsid w:val="003B0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sergio massari</cp:lastModifiedBy>
  <cp:revision>8</cp:revision>
  <dcterms:created xsi:type="dcterms:W3CDTF">2020-05-01T12:37:00Z</dcterms:created>
  <dcterms:modified xsi:type="dcterms:W3CDTF">2020-05-23T16:12:00Z</dcterms:modified>
</cp:coreProperties>
</file>